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FE45E" w14:textId="77777777" w:rsidR="003D2EF4" w:rsidRDefault="003D2EF4" w:rsidP="00D37E0C">
      <w:pPr>
        <w:jc w:val="center"/>
      </w:pPr>
    </w:p>
    <w:p w14:paraId="53E8C57C" w14:textId="77777777" w:rsidR="003D2EF4" w:rsidRDefault="003D2EF4" w:rsidP="00D37E0C">
      <w:pPr>
        <w:jc w:val="center"/>
      </w:pPr>
    </w:p>
    <w:p w14:paraId="23ED0FFF" w14:textId="77777777" w:rsidR="003D2EF4" w:rsidRPr="00595219" w:rsidRDefault="003D2EF4" w:rsidP="00D37E0C"/>
    <w:p w14:paraId="588B7D55" w14:textId="77777777" w:rsidR="003D2EF4" w:rsidRPr="0083521F" w:rsidRDefault="003D2EF4" w:rsidP="00D37E0C"/>
    <w:p w14:paraId="7A53FB98" w14:textId="77777777" w:rsidR="003D2EF4" w:rsidRDefault="003D2EF4" w:rsidP="00D37E0C">
      <w:pPr>
        <w:jc w:val="center"/>
      </w:pPr>
    </w:p>
    <w:p w14:paraId="02E7EEA2" w14:textId="77777777" w:rsidR="003D2EF4" w:rsidRDefault="003D2EF4" w:rsidP="00D37E0C">
      <w:pPr>
        <w:jc w:val="center"/>
      </w:pPr>
    </w:p>
    <w:p w14:paraId="16BA6C6F" w14:textId="77777777" w:rsidR="003D2EF4" w:rsidRDefault="003D2EF4" w:rsidP="00D37E0C">
      <w:pPr>
        <w:jc w:val="center"/>
      </w:pPr>
    </w:p>
    <w:p w14:paraId="08DE9EEB" w14:textId="77777777" w:rsidR="003D2EF4" w:rsidRDefault="003D2EF4" w:rsidP="00D37E0C">
      <w:pPr>
        <w:jc w:val="center"/>
      </w:pPr>
    </w:p>
    <w:p w14:paraId="5F835784" w14:textId="77777777" w:rsidR="003D2EF4" w:rsidRDefault="003D2EF4" w:rsidP="00D37E0C">
      <w:pPr>
        <w:jc w:val="center"/>
      </w:pPr>
    </w:p>
    <w:p w14:paraId="4CC13AFE" w14:textId="77777777" w:rsidR="003D2EF4" w:rsidRDefault="003D2EF4" w:rsidP="00D37E0C">
      <w:pPr>
        <w:jc w:val="center"/>
      </w:pPr>
    </w:p>
    <w:p w14:paraId="2C010C86" w14:textId="77777777" w:rsidR="003D2EF4" w:rsidRDefault="003D2EF4" w:rsidP="00D37E0C"/>
    <w:p w14:paraId="3F4A39E3" w14:textId="77777777" w:rsidR="003D2EF4" w:rsidRDefault="003D2EF4" w:rsidP="00D37E0C">
      <w:pPr>
        <w:jc w:val="center"/>
      </w:pPr>
    </w:p>
    <w:p w14:paraId="1D9B7EB3" w14:textId="77777777" w:rsidR="003D2EF4" w:rsidRDefault="003D2EF4" w:rsidP="007E36BD"/>
    <w:p w14:paraId="6EE197C3" w14:textId="6963A21D" w:rsidR="0086747B" w:rsidRPr="00B7351D" w:rsidRDefault="00B7351D" w:rsidP="00266F23">
      <w:pPr>
        <w:rPr>
          <w:rFonts w:cstheme="minorHAnsi"/>
          <w:b/>
          <w:bCs/>
          <w:color w:val="0071CE" w:themeColor="accent3"/>
          <w:sz w:val="48"/>
          <w:szCs w:val="48"/>
        </w:rPr>
      </w:pPr>
      <w:r w:rsidRPr="00B7351D">
        <w:rPr>
          <w:rFonts w:cstheme="minorHAnsi"/>
          <w:b/>
          <w:bCs/>
          <w:color w:val="0071CE" w:themeColor="accent3"/>
          <w:sz w:val="48"/>
          <w:szCs w:val="48"/>
        </w:rPr>
        <w:t xml:space="preserve">Broadway Reconstruction from IH‐45 to </w:t>
      </w:r>
      <w:r w:rsidR="008B0482">
        <w:rPr>
          <w:rFonts w:cstheme="minorHAnsi"/>
          <w:b/>
          <w:bCs/>
          <w:color w:val="0071CE" w:themeColor="accent3"/>
          <w:sz w:val="48"/>
          <w:szCs w:val="48"/>
        </w:rPr>
        <w:t>SH255</w:t>
      </w:r>
      <w:r w:rsidRPr="00B7351D">
        <w:rPr>
          <w:rFonts w:cstheme="minorHAnsi"/>
          <w:b/>
          <w:bCs/>
          <w:color w:val="0071CE" w:themeColor="accent3"/>
          <w:sz w:val="48"/>
          <w:szCs w:val="48"/>
        </w:rPr>
        <w:t xml:space="preserve"> Project</w:t>
      </w:r>
    </w:p>
    <w:p w14:paraId="13FE610D" w14:textId="29EC9C83" w:rsidR="00266F23" w:rsidRPr="00266F23" w:rsidRDefault="00266F23" w:rsidP="00266F23">
      <w:pPr>
        <w:rPr>
          <w:sz w:val="32"/>
          <w:szCs w:val="32"/>
        </w:rPr>
      </w:pPr>
      <w:r w:rsidRPr="00266F23">
        <w:rPr>
          <w:sz w:val="32"/>
          <w:szCs w:val="32"/>
        </w:rPr>
        <w:t>HGAC ID - #</w:t>
      </w:r>
      <w:r>
        <w:rPr>
          <w:sz w:val="32"/>
          <w:szCs w:val="32"/>
        </w:rPr>
        <w:t>796</w:t>
      </w:r>
    </w:p>
    <w:p w14:paraId="20DDD9AF" w14:textId="77777777" w:rsidR="00266F23" w:rsidRPr="00266F23" w:rsidRDefault="00266F23" w:rsidP="00266F23">
      <w:pPr>
        <w:rPr>
          <w:sz w:val="32"/>
          <w:szCs w:val="32"/>
        </w:rPr>
      </w:pPr>
      <w:r w:rsidRPr="00266F23">
        <w:rPr>
          <w:sz w:val="32"/>
          <w:szCs w:val="32"/>
        </w:rPr>
        <w:t>Benefit-Cost Analysis</w:t>
      </w:r>
    </w:p>
    <w:p w14:paraId="0A4790E1" w14:textId="79F4DD9F" w:rsidR="003D2EF4" w:rsidRPr="00BD6156" w:rsidRDefault="00266F23" w:rsidP="00266F23">
      <w:r w:rsidRPr="00266F23">
        <w:rPr>
          <w:sz w:val="32"/>
          <w:szCs w:val="32"/>
        </w:rPr>
        <w:t>August 2024</w:t>
      </w:r>
    </w:p>
    <w:p w14:paraId="768DC088" w14:textId="77777777" w:rsidR="003D2EF4" w:rsidRPr="00BD6156" w:rsidRDefault="003D2EF4" w:rsidP="00D37E0C">
      <w:pPr>
        <w:jc w:val="center"/>
      </w:pPr>
    </w:p>
    <w:p w14:paraId="37201579" w14:textId="77777777" w:rsidR="003D2EF4" w:rsidRPr="00BD6156" w:rsidRDefault="003D2EF4" w:rsidP="00D37E0C">
      <w:pPr>
        <w:jc w:val="center"/>
      </w:pPr>
    </w:p>
    <w:p w14:paraId="64E4845E" w14:textId="220D08B8" w:rsidR="003D2EF4" w:rsidRPr="00BD6156" w:rsidRDefault="009066F6" w:rsidP="00D37E0C">
      <w:pPr>
        <w:jc w:val="center"/>
      </w:pPr>
      <w:r>
        <w:rPr>
          <w:noProof/>
        </w:rPr>
        <w:drawing>
          <wp:anchor distT="0" distB="0" distL="114300" distR="114300" simplePos="0" relativeHeight="251659264" behindDoc="0" locked="0" layoutInCell="1" allowOverlap="1" wp14:anchorId="77531E29" wp14:editId="55801492">
            <wp:simplePos x="0" y="0"/>
            <wp:positionH relativeFrom="margin">
              <wp:posOffset>-70339</wp:posOffset>
            </wp:positionH>
            <wp:positionV relativeFrom="paragraph">
              <wp:posOffset>2096721</wp:posOffset>
            </wp:positionV>
            <wp:extent cx="1851660" cy="1851660"/>
            <wp:effectExtent l="0" t="0" r="0" b="0"/>
            <wp:wrapSquare wrapText="bothSides"/>
            <wp:docPr id="925988286" name="Picture 2" descr="A blue and gold emblem with a tr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988286" name="Picture 2" descr="A blue and gold emblem with a trai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85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780150" w14:textId="77777777" w:rsidR="003D2EF4" w:rsidRPr="0083521F" w:rsidRDefault="003D2EF4" w:rsidP="00D37E0C">
      <w:pPr>
        <w:sectPr w:rsidR="003D2EF4" w:rsidRPr="0083521F" w:rsidSect="00906726">
          <w:headerReference w:type="default" r:id="rId13"/>
          <w:footerReference w:type="default" r:id="rId14"/>
          <w:footerReference w:type="first" r:id="rId15"/>
          <w:pgSz w:w="12240" w:h="15840"/>
          <w:pgMar w:top="1440" w:right="1440" w:bottom="1440" w:left="1440" w:header="720" w:footer="576" w:gutter="0"/>
          <w:pgNumType w:start="1"/>
          <w:cols w:space="720"/>
          <w:titlePg/>
          <w:docGrid w:linePitch="360"/>
        </w:sectPr>
      </w:pPr>
      <w:bookmarkStart w:id="1" w:name="Tech_Memo_1_CATS_Accessible_Transit_Cond"/>
      <w:bookmarkStart w:id="2" w:name="_bookmark0"/>
      <w:bookmarkEnd w:id="1"/>
      <w:bookmarkEnd w:id="2"/>
    </w:p>
    <w:p w14:paraId="5CD0F0DA" w14:textId="6BEA7785" w:rsidR="003D2EF4" w:rsidRDefault="00097322" w:rsidP="00D37E0C">
      <w:r w:rsidRPr="00097322">
        <w:lastRenderedPageBreak/>
        <w:t xml:space="preserve">The 2024 USDOT Benefit-Cost Analysis (BCA) Guidance for Discretionary Grant Programs forms the basis for the methodologies employed to estimate </w:t>
      </w:r>
      <w:r w:rsidR="00A977E8" w:rsidRPr="00097322">
        <w:t>and</w:t>
      </w:r>
      <w:r w:rsidR="00A977E8">
        <w:t>,</w:t>
      </w:r>
      <w:r w:rsidR="00A977E8" w:rsidRPr="00097322">
        <w:t xml:space="preserve"> subsequently</w:t>
      </w:r>
      <w:r w:rsidR="00A977E8">
        <w:t>,</w:t>
      </w:r>
      <w:r w:rsidR="00A977E8" w:rsidRPr="00097322">
        <w:t xml:space="preserve"> monetized benefits </w:t>
      </w:r>
      <w:r w:rsidR="00A977E8">
        <w:t>for the Broadway Reconstruction project</w:t>
      </w:r>
      <w:r w:rsidR="003D2EF4" w:rsidRPr="002C3746">
        <w:t>.</w:t>
      </w:r>
      <w:bookmarkStart w:id="3" w:name="_Ref96864587"/>
      <w:r w:rsidR="003D2EF4" w:rsidRPr="00D37E0C">
        <w:rPr>
          <w:vertAlign w:val="superscript"/>
        </w:rPr>
        <w:footnoteReference w:id="2"/>
      </w:r>
      <w:bookmarkEnd w:id="3"/>
      <w:r w:rsidR="003D2EF4" w:rsidRPr="002C3746">
        <w:t xml:space="preserve"> The </w:t>
      </w:r>
      <w:r w:rsidR="00A977E8">
        <w:t xml:space="preserve">BCA </w:t>
      </w:r>
      <w:r w:rsidR="003D2EF4" w:rsidRPr="002C3746">
        <w:t xml:space="preserve">evaluation process examines the fundamental question of whether </w:t>
      </w:r>
      <w:r w:rsidR="005B2840" w:rsidRPr="005B2840">
        <w:t xml:space="preserve">the anticipated societal benefits of the project justify the associated costs, acknowledging the inherent difficulty in quantifying some benefits and costs. </w:t>
      </w:r>
      <w:r w:rsidR="00FE1B33">
        <w:t>T</w:t>
      </w:r>
      <w:r w:rsidR="00FE1B33" w:rsidRPr="00FE1B33">
        <w:t xml:space="preserve">his analysis </w:t>
      </w:r>
      <w:r w:rsidR="00A27E77">
        <w:t>examines</w:t>
      </w:r>
      <w:r w:rsidR="00FE1B33" w:rsidRPr="00FE1B33">
        <w:t xml:space="preserve"> how the No-Build and Build Scenarios enhance societal benefits over the planning horizon.</w:t>
      </w:r>
    </w:p>
    <w:p w14:paraId="56B4CCDC" w14:textId="77777777" w:rsidR="003D2EF4" w:rsidRPr="00090362" w:rsidRDefault="003D2EF4" w:rsidP="00D37E0C">
      <w:pPr>
        <w:rPr>
          <w:rFonts w:eastAsia="DengXian"/>
          <w:sz w:val="20"/>
          <w:szCs w:val="20"/>
          <w:lang w:eastAsia="zh-CN"/>
        </w:rPr>
      </w:pPr>
    </w:p>
    <w:p w14:paraId="712402D0" w14:textId="465282A3" w:rsidR="003D2EF4" w:rsidRPr="00CA4C1D" w:rsidRDefault="007732B5" w:rsidP="00D37E0C">
      <w:r>
        <w:t>This</w:t>
      </w:r>
      <w:r w:rsidR="003D2EF4" w:rsidRPr="007B4841">
        <w:t xml:space="preserve"> BCA </w:t>
      </w:r>
      <w:r>
        <w:t xml:space="preserve">analysis </w:t>
      </w:r>
      <w:r w:rsidR="003D2EF4" w:rsidRPr="007B4841">
        <w:t xml:space="preserve">quantifies the net difference between the </w:t>
      </w:r>
      <w:r w:rsidR="003D2EF4">
        <w:t>No-Build</w:t>
      </w:r>
      <w:r w:rsidR="003D2EF4" w:rsidRPr="007B4841">
        <w:t xml:space="preserve"> and </w:t>
      </w:r>
      <w:r w:rsidR="003D2EF4">
        <w:t>Build</w:t>
      </w:r>
      <w:r w:rsidR="003D2EF4" w:rsidRPr="007B4841">
        <w:t xml:space="preserve"> </w:t>
      </w:r>
      <w:r w:rsidR="003D2EF4">
        <w:t>S</w:t>
      </w:r>
      <w:r w:rsidR="003D2EF4" w:rsidRPr="007B4841">
        <w:t>cenarios</w:t>
      </w:r>
      <w:r w:rsidR="003D2EF4">
        <w:t xml:space="preserve"> for </w:t>
      </w:r>
      <w:r w:rsidR="00F365EE">
        <w:t>t</w:t>
      </w:r>
      <w:r w:rsidR="003D2EF4" w:rsidRPr="00CA4C1D">
        <w:t>he</w:t>
      </w:r>
      <w:r w:rsidR="006D75E4">
        <w:t xml:space="preserve"> </w:t>
      </w:r>
      <w:r w:rsidR="00517C40" w:rsidRPr="00517C40">
        <w:t xml:space="preserve">Broadway Reconstruction from IH-45 to </w:t>
      </w:r>
      <w:r w:rsidR="008B0482">
        <w:t>SH 255</w:t>
      </w:r>
      <w:r w:rsidR="00517C40" w:rsidRPr="00517C40">
        <w:t xml:space="preserve"> Project</w:t>
      </w:r>
      <w:r w:rsidR="0052672B" w:rsidRPr="0052672B">
        <w:t> </w:t>
      </w:r>
      <w:r w:rsidR="003D2EF4" w:rsidRPr="00CA4C1D">
        <w:t>(</w:t>
      </w:r>
      <w:r w:rsidR="004959E8">
        <w:t>“</w:t>
      </w:r>
      <w:r w:rsidR="003D2EF4" w:rsidRPr="00CA4C1D">
        <w:t>Project</w:t>
      </w:r>
      <w:r w:rsidR="004959E8">
        <w:t>”</w:t>
      </w:r>
      <w:r w:rsidR="003D2EF4" w:rsidRPr="00CA4C1D">
        <w:t>)</w:t>
      </w:r>
      <w:r w:rsidR="00F365EE">
        <w:t xml:space="preserve">. </w:t>
      </w:r>
      <w:r w:rsidR="00C7071A">
        <w:t xml:space="preserve">The </w:t>
      </w:r>
      <w:r w:rsidR="004C5477">
        <w:t>p</w:t>
      </w:r>
      <w:r w:rsidR="00F365EE">
        <w:t>roject</w:t>
      </w:r>
      <w:r w:rsidR="003D2EF4" w:rsidRPr="00CA4C1D">
        <w:t xml:space="preserve"> limits are </w:t>
      </w:r>
      <w:r w:rsidR="0015606F">
        <w:t>detailed</w:t>
      </w:r>
      <w:r w:rsidR="003D2EF4" w:rsidRPr="00CA4C1D">
        <w:t xml:space="preserve"> in </w:t>
      </w:r>
      <w:r w:rsidR="003D2EF4" w:rsidRPr="00943298">
        <w:fldChar w:fldCharType="begin"/>
      </w:r>
      <w:r w:rsidR="003D2EF4" w:rsidRPr="00943298">
        <w:instrText xml:space="preserve"> REF _Ref121830822 \h  \* MERGEFORMAT </w:instrText>
      </w:r>
      <w:r w:rsidR="003D2EF4" w:rsidRPr="00943298">
        <w:fldChar w:fldCharType="separate"/>
      </w:r>
      <w:r w:rsidR="00A927CD" w:rsidRPr="00A927CD">
        <w:t xml:space="preserve">Table </w:t>
      </w:r>
      <w:r w:rsidR="00A927CD" w:rsidRPr="00A927CD">
        <w:rPr>
          <w:noProof/>
        </w:rPr>
        <w:t>1</w:t>
      </w:r>
      <w:r w:rsidR="003D2EF4" w:rsidRPr="00943298">
        <w:fldChar w:fldCharType="end"/>
      </w:r>
      <w:r w:rsidR="003D2EF4" w:rsidRPr="00CA4C1D">
        <w:t>.</w:t>
      </w:r>
    </w:p>
    <w:p w14:paraId="0D8CDF2D" w14:textId="77777777" w:rsidR="003D2EF4" w:rsidRPr="00CA4C1D" w:rsidRDefault="003D2EF4" w:rsidP="00D37E0C"/>
    <w:p w14:paraId="705A6D54" w14:textId="54C25FED" w:rsidR="003D2EF4" w:rsidRPr="00CA4C1D" w:rsidRDefault="003D2EF4" w:rsidP="00D37E0C">
      <w:pPr>
        <w:pStyle w:val="Caption"/>
        <w:spacing w:after="0" w:line="276" w:lineRule="auto"/>
      </w:pPr>
      <w:bookmarkStart w:id="5" w:name="_Ref121830822"/>
      <w:bookmarkStart w:id="6" w:name="_Toc142310176"/>
      <w:r w:rsidRPr="00150F0D">
        <w:rPr>
          <w:b/>
          <w:bCs/>
        </w:rPr>
        <w:t xml:space="preserve">Table </w:t>
      </w:r>
      <w:r w:rsidRPr="00150F0D">
        <w:rPr>
          <w:b/>
          <w:bCs/>
        </w:rPr>
        <w:fldChar w:fldCharType="begin"/>
      </w:r>
      <w:r w:rsidRPr="00150F0D">
        <w:rPr>
          <w:b/>
          <w:bCs/>
        </w:rPr>
        <w:instrText xml:space="preserve"> SEQ Table \* ARABIC </w:instrText>
      </w:r>
      <w:r w:rsidRPr="00150F0D">
        <w:rPr>
          <w:b/>
          <w:bCs/>
        </w:rPr>
        <w:fldChar w:fldCharType="separate"/>
      </w:r>
      <w:r w:rsidR="00A927CD">
        <w:rPr>
          <w:b/>
          <w:bCs/>
          <w:noProof/>
        </w:rPr>
        <w:t>1</w:t>
      </w:r>
      <w:r w:rsidRPr="00150F0D">
        <w:rPr>
          <w:b/>
          <w:bCs/>
        </w:rPr>
        <w:fldChar w:fldCharType="end"/>
      </w:r>
      <w:bookmarkEnd w:id="5"/>
      <w:r w:rsidRPr="00150F0D">
        <w:rPr>
          <w:b/>
          <w:bCs/>
        </w:rPr>
        <w:t>.</w:t>
      </w:r>
      <w:r w:rsidRPr="00CA4C1D">
        <w:t xml:space="preserve"> </w:t>
      </w:r>
      <w:r>
        <w:t>Project Limits</w:t>
      </w:r>
      <w:bookmarkEnd w:id="6"/>
    </w:p>
    <w:tbl>
      <w:tblPr>
        <w:tblStyle w:val="TGCCenterAlignment"/>
        <w:tblW w:w="5000" w:type="pct"/>
        <w:tblLook w:val="04A0" w:firstRow="1" w:lastRow="0" w:firstColumn="1" w:lastColumn="0" w:noHBand="0" w:noVBand="1"/>
      </w:tblPr>
      <w:tblGrid>
        <w:gridCol w:w="2515"/>
        <w:gridCol w:w="2880"/>
        <w:gridCol w:w="3955"/>
      </w:tblGrid>
      <w:tr w:rsidR="003D2EF4" w:rsidRPr="00CA4C1D" w14:paraId="50C746D7" w14:textId="77777777" w:rsidTr="00231CEE">
        <w:trPr>
          <w:cnfStyle w:val="100000000000" w:firstRow="1" w:lastRow="0" w:firstColumn="0" w:lastColumn="0" w:oddVBand="0" w:evenVBand="0" w:oddHBand="0" w:evenHBand="0" w:firstRowFirstColumn="0" w:firstRowLastColumn="0" w:lastRowFirstColumn="0" w:lastRowLastColumn="0"/>
          <w:trHeight w:val="222"/>
        </w:trPr>
        <w:tc>
          <w:tcPr>
            <w:cnfStyle w:val="001000000100" w:firstRow="0" w:lastRow="0" w:firstColumn="1" w:lastColumn="0" w:oddVBand="0" w:evenVBand="0" w:oddHBand="0" w:evenHBand="0" w:firstRowFirstColumn="1" w:firstRowLastColumn="0" w:lastRowFirstColumn="0" w:lastRowLastColumn="0"/>
            <w:tcW w:w="1345" w:type="pct"/>
          </w:tcPr>
          <w:p w14:paraId="58212141" w14:textId="77777777" w:rsidR="003D2EF4" w:rsidRPr="00F3473C" w:rsidRDefault="003D2EF4" w:rsidP="00F80658">
            <w:pPr>
              <w:jc w:val="center"/>
              <w:rPr>
                <w:bCs w:val="0"/>
                <w:szCs w:val="20"/>
              </w:rPr>
            </w:pPr>
            <w:r w:rsidRPr="00F3473C">
              <w:rPr>
                <w:szCs w:val="20"/>
              </w:rPr>
              <w:t>Street</w:t>
            </w:r>
          </w:p>
        </w:tc>
        <w:tc>
          <w:tcPr>
            <w:tcW w:w="1540" w:type="pct"/>
          </w:tcPr>
          <w:p w14:paraId="0A05B0A1" w14:textId="77777777" w:rsidR="003D2EF4" w:rsidRPr="00F3473C" w:rsidRDefault="003D2EF4" w:rsidP="00F80658">
            <w:pPr>
              <w:cnfStyle w:val="100000000000" w:firstRow="1" w:lastRow="0" w:firstColumn="0" w:lastColumn="0" w:oddVBand="0" w:evenVBand="0" w:oddHBand="0" w:evenHBand="0" w:firstRowFirstColumn="0" w:firstRowLastColumn="0" w:lastRowFirstColumn="0" w:lastRowLastColumn="0"/>
              <w:rPr>
                <w:szCs w:val="20"/>
              </w:rPr>
            </w:pPr>
            <w:r w:rsidRPr="00F3473C">
              <w:rPr>
                <w:szCs w:val="20"/>
              </w:rPr>
              <w:t>Terminus A</w:t>
            </w:r>
          </w:p>
        </w:tc>
        <w:tc>
          <w:tcPr>
            <w:tcW w:w="2115" w:type="pct"/>
          </w:tcPr>
          <w:p w14:paraId="1755C730" w14:textId="77777777" w:rsidR="003D2EF4" w:rsidRPr="00F3473C" w:rsidRDefault="003D2EF4" w:rsidP="00F80658">
            <w:pPr>
              <w:cnfStyle w:val="100000000000" w:firstRow="1" w:lastRow="0" w:firstColumn="0" w:lastColumn="0" w:oddVBand="0" w:evenVBand="0" w:oddHBand="0" w:evenHBand="0" w:firstRowFirstColumn="0" w:firstRowLastColumn="0" w:lastRowFirstColumn="0" w:lastRowLastColumn="0"/>
              <w:rPr>
                <w:szCs w:val="20"/>
              </w:rPr>
            </w:pPr>
            <w:r w:rsidRPr="00F3473C">
              <w:rPr>
                <w:szCs w:val="20"/>
              </w:rPr>
              <w:t>Terminus B</w:t>
            </w:r>
          </w:p>
        </w:tc>
      </w:tr>
      <w:tr w:rsidR="003D2EF4" w14:paraId="05BB01CE" w14:textId="77777777" w:rsidTr="00231CEE">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345" w:type="pct"/>
          </w:tcPr>
          <w:p w14:paraId="07F58E1C" w14:textId="4ADEE87F" w:rsidR="003D2EF4" w:rsidRPr="00CF336F" w:rsidRDefault="00F15804" w:rsidP="00F80658">
            <w:pPr>
              <w:jc w:val="center"/>
              <w:rPr>
                <w:szCs w:val="20"/>
              </w:rPr>
            </w:pPr>
            <w:r w:rsidRPr="00CF336F">
              <w:rPr>
                <w:szCs w:val="20"/>
              </w:rPr>
              <w:t>Broadway Street</w:t>
            </w:r>
          </w:p>
        </w:tc>
        <w:tc>
          <w:tcPr>
            <w:tcW w:w="1540" w:type="pct"/>
          </w:tcPr>
          <w:p w14:paraId="72598024" w14:textId="1F4C6719" w:rsidR="003D2EF4" w:rsidRPr="00CF336F" w:rsidRDefault="006D75E4" w:rsidP="00F80658">
            <w:pPr>
              <w:cnfStyle w:val="000000100000" w:firstRow="0" w:lastRow="0" w:firstColumn="0" w:lastColumn="0" w:oddVBand="0" w:evenVBand="0" w:oddHBand="1" w:evenHBand="0" w:firstRowFirstColumn="0" w:firstRowLastColumn="0" w:lastRowFirstColumn="0" w:lastRowLastColumn="0"/>
              <w:rPr>
                <w:szCs w:val="20"/>
              </w:rPr>
            </w:pPr>
            <w:r w:rsidRPr="00CF336F">
              <w:rPr>
                <w:szCs w:val="20"/>
              </w:rPr>
              <w:t>I</w:t>
            </w:r>
            <w:r w:rsidR="00231CEE">
              <w:rPr>
                <w:szCs w:val="20"/>
              </w:rPr>
              <w:t xml:space="preserve">nterstate </w:t>
            </w:r>
            <w:r w:rsidRPr="00CF336F">
              <w:rPr>
                <w:szCs w:val="20"/>
              </w:rPr>
              <w:t>45</w:t>
            </w:r>
            <w:r w:rsidR="00231CEE">
              <w:rPr>
                <w:szCs w:val="20"/>
              </w:rPr>
              <w:t xml:space="preserve"> (IH-45)</w:t>
            </w:r>
          </w:p>
        </w:tc>
        <w:tc>
          <w:tcPr>
            <w:tcW w:w="2115" w:type="pct"/>
          </w:tcPr>
          <w:p w14:paraId="6E95D937" w14:textId="0082E0A7" w:rsidR="003D2EF4" w:rsidRPr="00CF336F" w:rsidRDefault="006A72D1" w:rsidP="00F80658">
            <w:pPr>
              <w:cnfStyle w:val="000000100000" w:firstRow="0" w:lastRow="0" w:firstColumn="0" w:lastColumn="0" w:oddVBand="0" w:evenVBand="0" w:oddHBand="1" w:evenHBand="0" w:firstRowFirstColumn="0" w:firstRowLastColumn="0" w:lastRowFirstColumn="0" w:lastRowLastColumn="0"/>
              <w:rPr>
                <w:szCs w:val="20"/>
              </w:rPr>
            </w:pPr>
            <w:r>
              <w:rPr>
                <w:szCs w:val="20"/>
              </w:rPr>
              <w:t>SH 255</w:t>
            </w:r>
          </w:p>
        </w:tc>
      </w:tr>
    </w:tbl>
    <w:p w14:paraId="26B02568" w14:textId="77777777" w:rsidR="00CF336F" w:rsidRDefault="00CF336F" w:rsidP="00193071">
      <w:pPr>
        <w:pStyle w:val="Heading1"/>
      </w:pPr>
      <w:bookmarkStart w:id="7" w:name="_Toc142310161"/>
    </w:p>
    <w:p w14:paraId="3857E389" w14:textId="60473459" w:rsidR="00193071" w:rsidRDefault="00193071" w:rsidP="00193071">
      <w:pPr>
        <w:pStyle w:val="Heading1"/>
      </w:pPr>
      <w:r>
        <w:t>BCA Result</w:t>
      </w:r>
      <w:r w:rsidR="00234647">
        <w:t xml:space="preserve"> Summary</w:t>
      </w:r>
    </w:p>
    <w:p w14:paraId="1EC0D9CF" w14:textId="55125D64" w:rsidR="00193071" w:rsidRDefault="00193071" w:rsidP="00193071">
      <w:r>
        <w:t xml:space="preserve">Benefits and costs in real dollars and discounted real dollars are shown </w:t>
      </w:r>
      <w:r w:rsidR="00EB342C">
        <w:t>in the table below</w:t>
      </w:r>
      <w:r>
        <w:t xml:space="preserve">. </w:t>
      </w:r>
      <w:r w:rsidRPr="00BA278B">
        <w:t>The benefit-cost ratio is</w:t>
      </w:r>
      <w:r w:rsidR="00436F27">
        <w:t xml:space="preserve"> 5.</w:t>
      </w:r>
      <w:r w:rsidR="0015703D">
        <w:t>36</w:t>
      </w:r>
      <w:r w:rsidR="00436F27">
        <w:t xml:space="preserve"> </w:t>
      </w:r>
      <w:r w:rsidRPr="00BA278B">
        <w:t>in 2022 real dollars</w:t>
      </w:r>
      <w:r w:rsidR="006436D6">
        <w:t xml:space="preserve"> and</w:t>
      </w:r>
      <w:r w:rsidR="00436F27">
        <w:t xml:space="preserve"> 3.</w:t>
      </w:r>
      <w:r w:rsidR="0015703D">
        <w:t>88</w:t>
      </w:r>
      <w:r w:rsidRPr="00BA278B">
        <w:t xml:space="preserve"> when discounted at 3.1%. </w:t>
      </w:r>
    </w:p>
    <w:p w14:paraId="6770A846" w14:textId="77777777" w:rsidR="00193071" w:rsidRDefault="00193071" w:rsidP="00193071"/>
    <w:p w14:paraId="67F4699B" w14:textId="252C1EC8" w:rsidR="00193071" w:rsidRPr="00363B6A" w:rsidRDefault="00193071" w:rsidP="00193071">
      <w:pPr>
        <w:pStyle w:val="Caption"/>
        <w:spacing w:after="0" w:line="276" w:lineRule="auto"/>
      </w:pPr>
      <w:bookmarkStart w:id="8" w:name="_Ref156986387"/>
      <w:bookmarkStart w:id="9" w:name="_Toc142310178"/>
      <w:r w:rsidRPr="00436F27">
        <w:rPr>
          <w:b/>
          <w:bCs/>
        </w:rPr>
        <w:t xml:space="preserve">Table </w:t>
      </w:r>
      <w:r w:rsidRPr="00436F27">
        <w:rPr>
          <w:b/>
          <w:bCs/>
        </w:rPr>
        <w:fldChar w:fldCharType="begin"/>
      </w:r>
      <w:r w:rsidRPr="00436F27">
        <w:rPr>
          <w:b/>
          <w:bCs/>
        </w:rPr>
        <w:instrText xml:space="preserve"> SEQ Table \* ARABIC </w:instrText>
      </w:r>
      <w:r w:rsidRPr="00436F27">
        <w:rPr>
          <w:b/>
          <w:bCs/>
        </w:rPr>
        <w:fldChar w:fldCharType="separate"/>
      </w:r>
      <w:r w:rsidR="00A927CD">
        <w:rPr>
          <w:b/>
          <w:bCs/>
          <w:noProof/>
        </w:rPr>
        <w:t>2</w:t>
      </w:r>
      <w:r w:rsidRPr="00436F27">
        <w:rPr>
          <w:b/>
          <w:bCs/>
        </w:rPr>
        <w:fldChar w:fldCharType="end"/>
      </w:r>
      <w:bookmarkEnd w:id="8"/>
      <w:r w:rsidRPr="00436F27">
        <w:rPr>
          <w:b/>
          <w:bCs/>
        </w:rPr>
        <w:t>.</w:t>
      </w:r>
      <w:r w:rsidRPr="00436F27">
        <w:t xml:space="preserve"> BCA Summary</w:t>
      </w:r>
      <w:bookmarkEnd w:id="9"/>
    </w:p>
    <w:tbl>
      <w:tblPr>
        <w:tblStyle w:val="TGCLeftAlignment"/>
        <w:tblW w:w="5000" w:type="pct"/>
        <w:tblLook w:val="04A0" w:firstRow="1" w:lastRow="0" w:firstColumn="1" w:lastColumn="0" w:noHBand="0" w:noVBand="1"/>
      </w:tblPr>
      <w:tblGrid>
        <w:gridCol w:w="3118"/>
        <w:gridCol w:w="3115"/>
        <w:gridCol w:w="3117"/>
      </w:tblGrid>
      <w:tr w:rsidR="00193071" w:rsidRPr="000D3DDF" w14:paraId="5D94E4F9" w14:textId="77777777">
        <w:trPr>
          <w:cnfStyle w:val="100000000000" w:firstRow="1" w:lastRow="0" w:firstColumn="0" w:lastColumn="0" w:oddVBand="0" w:evenVBand="0" w:oddHBand="0" w:evenHBand="0" w:firstRowFirstColumn="0" w:firstRowLastColumn="0" w:lastRowFirstColumn="0" w:lastRowLastColumn="0"/>
          <w:trHeight w:val="173"/>
        </w:trPr>
        <w:tc>
          <w:tcPr>
            <w:tcW w:w="1667" w:type="pct"/>
          </w:tcPr>
          <w:p w14:paraId="268459E5" w14:textId="77777777" w:rsidR="00193071" w:rsidRPr="00F3473C" w:rsidRDefault="00193071">
            <w:pPr>
              <w:jc w:val="center"/>
              <w:rPr>
                <w:szCs w:val="20"/>
              </w:rPr>
            </w:pPr>
            <w:r w:rsidRPr="00F3473C">
              <w:rPr>
                <w:szCs w:val="20"/>
              </w:rPr>
              <w:t>Scenario</w:t>
            </w:r>
          </w:p>
        </w:tc>
        <w:tc>
          <w:tcPr>
            <w:tcW w:w="1666" w:type="pct"/>
          </w:tcPr>
          <w:p w14:paraId="3E795FF6" w14:textId="77777777" w:rsidR="00193071" w:rsidRPr="00F3473C" w:rsidRDefault="00193071">
            <w:pPr>
              <w:jc w:val="center"/>
              <w:rPr>
                <w:szCs w:val="20"/>
              </w:rPr>
            </w:pPr>
            <w:r>
              <w:rPr>
                <w:szCs w:val="20"/>
              </w:rPr>
              <w:t xml:space="preserve">$2022 </w:t>
            </w:r>
            <w:r w:rsidRPr="00F3473C">
              <w:rPr>
                <w:szCs w:val="20"/>
              </w:rPr>
              <w:t>Real Dollars</w:t>
            </w:r>
          </w:p>
        </w:tc>
        <w:tc>
          <w:tcPr>
            <w:tcW w:w="1667" w:type="pct"/>
          </w:tcPr>
          <w:p w14:paraId="51633BEE" w14:textId="77777777" w:rsidR="00193071" w:rsidRPr="00F3473C" w:rsidRDefault="00193071">
            <w:pPr>
              <w:jc w:val="center"/>
              <w:rPr>
                <w:szCs w:val="20"/>
              </w:rPr>
            </w:pPr>
            <w:r>
              <w:rPr>
                <w:szCs w:val="20"/>
              </w:rPr>
              <w:t xml:space="preserve">$2022 </w:t>
            </w:r>
            <w:r w:rsidRPr="00F3473C">
              <w:rPr>
                <w:szCs w:val="20"/>
              </w:rPr>
              <w:t>Real Dollars</w:t>
            </w:r>
          </w:p>
          <w:p w14:paraId="66FEF1F3" w14:textId="77777777" w:rsidR="00193071" w:rsidRPr="00F3473C" w:rsidRDefault="00193071">
            <w:pPr>
              <w:jc w:val="center"/>
              <w:rPr>
                <w:szCs w:val="20"/>
              </w:rPr>
            </w:pPr>
            <w:r>
              <w:rPr>
                <w:szCs w:val="20"/>
              </w:rPr>
              <w:t>3.1%</w:t>
            </w:r>
            <w:r w:rsidRPr="00F3473C">
              <w:rPr>
                <w:szCs w:val="20"/>
              </w:rPr>
              <w:t xml:space="preserve"> Discount</w:t>
            </w:r>
          </w:p>
        </w:tc>
      </w:tr>
      <w:tr w:rsidR="0092387B" w:rsidRPr="000D3DDF" w14:paraId="46350B0C" w14:textId="77777777" w:rsidTr="009373C0">
        <w:trPr>
          <w:cnfStyle w:val="000000100000" w:firstRow="0" w:lastRow="0" w:firstColumn="0" w:lastColumn="0" w:oddVBand="0" w:evenVBand="0" w:oddHBand="1" w:evenHBand="0" w:firstRowFirstColumn="0" w:firstRowLastColumn="0" w:lastRowFirstColumn="0" w:lastRowLastColumn="0"/>
          <w:trHeight w:val="222"/>
        </w:trPr>
        <w:tc>
          <w:tcPr>
            <w:tcW w:w="1667" w:type="pct"/>
          </w:tcPr>
          <w:p w14:paraId="3420FB4D" w14:textId="77777777" w:rsidR="0092387B" w:rsidRPr="000E1663" w:rsidRDefault="0092387B" w:rsidP="0092387B">
            <w:r w:rsidRPr="000E1663">
              <w:t>Benefits</w:t>
            </w:r>
          </w:p>
        </w:tc>
        <w:tc>
          <w:tcPr>
            <w:tcW w:w="1666" w:type="pct"/>
          </w:tcPr>
          <w:p w14:paraId="70558074" w14:textId="524D3985" w:rsidR="0092387B" w:rsidRPr="002F7A98" w:rsidRDefault="0092387B" w:rsidP="0092387B">
            <w:pPr>
              <w:jc w:val="center"/>
              <w:rPr>
                <w:highlight w:val="yellow"/>
              </w:rPr>
            </w:pPr>
            <w:r>
              <w:rPr>
                <w:rFonts w:ascii="Calibri" w:hAnsi="Calibri" w:cs="Calibri"/>
              </w:rPr>
              <w:t xml:space="preserve">$251,172,700 </w:t>
            </w:r>
          </w:p>
        </w:tc>
        <w:tc>
          <w:tcPr>
            <w:tcW w:w="1667" w:type="pct"/>
          </w:tcPr>
          <w:p w14:paraId="1B2DC6EC" w14:textId="7F701606" w:rsidR="0092387B" w:rsidRPr="002F7A98" w:rsidRDefault="0092387B" w:rsidP="0092387B">
            <w:pPr>
              <w:jc w:val="center"/>
              <w:rPr>
                <w:highlight w:val="yellow"/>
              </w:rPr>
            </w:pPr>
            <w:r>
              <w:rPr>
                <w:rFonts w:ascii="Calibri" w:hAnsi="Calibri" w:cs="Calibri"/>
              </w:rPr>
              <w:t xml:space="preserve">$159,289,100 </w:t>
            </w:r>
          </w:p>
        </w:tc>
      </w:tr>
      <w:tr w:rsidR="0092387B" w:rsidRPr="000D3DDF" w14:paraId="6D4F2FF4" w14:textId="77777777" w:rsidTr="009373C0">
        <w:trPr>
          <w:cnfStyle w:val="000000010000" w:firstRow="0" w:lastRow="0" w:firstColumn="0" w:lastColumn="0" w:oddVBand="0" w:evenVBand="0" w:oddHBand="0" w:evenHBand="1" w:firstRowFirstColumn="0" w:firstRowLastColumn="0" w:lastRowFirstColumn="0" w:lastRowLastColumn="0"/>
          <w:trHeight w:val="150"/>
        </w:trPr>
        <w:tc>
          <w:tcPr>
            <w:tcW w:w="1667" w:type="pct"/>
          </w:tcPr>
          <w:p w14:paraId="7BF5B7DA" w14:textId="77777777" w:rsidR="0092387B" w:rsidRPr="000E1663" w:rsidRDefault="0092387B" w:rsidP="0092387B">
            <w:r w:rsidRPr="000E1663">
              <w:t>Costs</w:t>
            </w:r>
          </w:p>
        </w:tc>
        <w:tc>
          <w:tcPr>
            <w:tcW w:w="1666" w:type="pct"/>
          </w:tcPr>
          <w:p w14:paraId="1C9B2700" w14:textId="373DE45A" w:rsidR="0092387B" w:rsidRPr="002F7A98" w:rsidRDefault="0092387B" w:rsidP="0092387B">
            <w:pPr>
              <w:jc w:val="center"/>
              <w:rPr>
                <w:highlight w:val="yellow"/>
              </w:rPr>
            </w:pPr>
            <w:r>
              <w:rPr>
                <w:rFonts w:ascii="Calibri" w:hAnsi="Calibri" w:cs="Calibri"/>
              </w:rPr>
              <w:t xml:space="preserve">$46,899,800 </w:t>
            </w:r>
          </w:p>
        </w:tc>
        <w:tc>
          <w:tcPr>
            <w:tcW w:w="1667" w:type="pct"/>
          </w:tcPr>
          <w:p w14:paraId="0733E7C5" w14:textId="074353E3" w:rsidR="0092387B" w:rsidRPr="002F7A98" w:rsidRDefault="0092387B" w:rsidP="0092387B">
            <w:pPr>
              <w:jc w:val="center"/>
              <w:rPr>
                <w:highlight w:val="yellow"/>
              </w:rPr>
            </w:pPr>
            <w:r>
              <w:rPr>
                <w:rFonts w:ascii="Calibri" w:hAnsi="Calibri" w:cs="Calibri"/>
              </w:rPr>
              <w:t xml:space="preserve">$41,064,300 </w:t>
            </w:r>
          </w:p>
        </w:tc>
      </w:tr>
      <w:tr w:rsidR="0015703D" w:rsidRPr="000D3DDF" w14:paraId="507D563D" w14:textId="77777777" w:rsidTr="003B248E">
        <w:trPr>
          <w:cnfStyle w:val="000000100000" w:firstRow="0" w:lastRow="0" w:firstColumn="0" w:lastColumn="0" w:oddVBand="0" w:evenVBand="0" w:oddHBand="1" w:evenHBand="0" w:firstRowFirstColumn="0" w:firstRowLastColumn="0" w:lastRowFirstColumn="0" w:lastRowLastColumn="0"/>
          <w:trHeight w:val="150"/>
        </w:trPr>
        <w:tc>
          <w:tcPr>
            <w:tcW w:w="1667" w:type="pct"/>
          </w:tcPr>
          <w:p w14:paraId="11EF971C" w14:textId="77777777" w:rsidR="0015703D" w:rsidRPr="000E1663" w:rsidRDefault="0015703D" w:rsidP="0015703D">
            <w:r w:rsidRPr="000E1663">
              <w:t>BCA</w:t>
            </w:r>
          </w:p>
        </w:tc>
        <w:tc>
          <w:tcPr>
            <w:tcW w:w="1666" w:type="pct"/>
          </w:tcPr>
          <w:p w14:paraId="2F84BD34" w14:textId="42ACF382" w:rsidR="0015703D" w:rsidRPr="00436F27" w:rsidRDefault="0015703D" w:rsidP="0015703D">
            <w:pPr>
              <w:jc w:val="center"/>
            </w:pPr>
            <w:r>
              <w:rPr>
                <w:rFonts w:ascii="Calibri" w:hAnsi="Calibri" w:cs="Calibri"/>
              </w:rPr>
              <w:t xml:space="preserve">5.36 </w:t>
            </w:r>
          </w:p>
        </w:tc>
        <w:tc>
          <w:tcPr>
            <w:tcW w:w="1667" w:type="pct"/>
          </w:tcPr>
          <w:p w14:paraId="125B37EE" w14:textId="18DD4701" w:rsidR="0015703D" w:rsidRPr="00436F27" w:rsidRDefault="0015703D" w:rsidP="0015703D">
            <w:pPr>
              <w:keepNext/>
              <w:jc w:val="center"/>
            </w:pPr>
            <w:r>
              <w:rPr>
                <w:rFonts w:ascii="Calibri" w:hAnsi="Calibri" w:cs="Calibri"/>
              </w:rPr>
              <w:t xml:space="preserve">3.88 </w:t>
            </w:r>
          </w:p>
        </w:tc>
      </w:tr>
    </w:tbl>
    <w:p w14:paraId="50A1F3C7" w14:textId="77777777" w:rsidR="00193071" w:rsidRDefault="00193071" w:rsidP="00D25529"/>
    <w:p w14:paraId="0A2EFB28" w14:textId="4E54B0BC" w:rsidR="00DC31A5" w:rsidRPr="00D37E0C" w:rsidRDefault="00416700" w:rsidP="002E7ECD">
      <w:pPr>
        <w:pStyle w:val="Heading1"/>
      </w:pPr>
      <w:r>
        <w:t xml:space="preserve">BCA Methodology and </w:t>
      </w:r>
      <w:r w:rsidR="00DC31A5" w:rsidRPr="00BD5BEF">
        <w:t xml:space="preserve">Foundations to </w:t>
      </w:r>
      <w:bookmarkEnd w:id="7"/>
      <w:r w:rsidR="001D0A9F">
        <w:t>BCA</w:t>
      </w:r>
    </w:p>
    <w:p w14:paraId="2879124A" w14:textId="345830F0" w:rsidR="00DC31A5" w:rsidRDefault="001467DF" w:rsidP="00DC31A5">
      <w:r>
        <w:t xml:space="preserve">The baseline (No-Build) and Build methodology and calculations for each benefit are contained within this technical memorandum, supported by the BCA Excel Workbook. </w:t>
      </w:r>
      <w:r w:rsidRPr="00472ED4">
        <w:t xml:space="preserve">The </w:t>
      </w:r>
      <w:r w:rsidR="00064E8E">
        <w:t>calculation is</w:t>
      </w:r>
      <w:r w:rsidRPr="00472ED4">
        <w:t xml:space="preserve"> based on the following methodologies and general assumptions.</w:t>
      </w:r>
    </w:p>
    <w:p w14:paraId="6FE8626E" w14:textId="77777777" w:rsidR="00472ED4" w:rsidRPr="00546ECF" w:rsidRDefault="00472ED4" w:rsidP="00DC31A5"/>
    <w:p w14:paraId="47BF7ACC" w14:textId="77777777" w:rsidR="00DC31A5" w:rsidRDefault="00DC31A5" w:rsidP="00DC31A5">
      <w:pPr>
        <w:pStyle w:val="Heading2"/>
      </w:pPr>
      <w:r>
        <w:t>Real Dollars &amp; Discount Rate</w:t>
      </w:r>
    </w:p>
    <w:p w14:paraId="6CF68FB3" w14:textId="79C4C21D" w:rsidR="002D7D10" w:rsidRDefault="00FE5E86" w:rsidP="00DC31A5">
      <w:r w:rsidRPr="00FE5E86">
        <w:t xml:space="preserve">All monetized values in the analysis are standardized to 2022 (real dollars). Costs from previous years were adjusted using a 2.79% annual inflation factor, derived from Table A-7 of the 2024 USDOT BCA Guide, to </w:t>
      </w:r>
      <w:r w:rsidRPr="00665233">
        <w:rPr>
          <w:b/>
          <w:bCs/>
        </w:rPr>
        <w:t>reflect real dollars in 2022</w:t>
      </w:r>
      <w:r w:rsidRPr="00FE5E86">
        <w:t>.</w:t>
      </w:r>
      <w:r w:rsidR="00EC79BD" w:rsidRPr="002F2A14">
        <w:fldChar w:fldCharType="begin"/>
      </w:r>
      <w:r w:rsidR="00EC79BD" w:rsidRPr="002F2A14">
        <w:rPr>
          <w:vertAlign w:val="superscript"/>
        </w:rPr>
        <w:instrText xml:space="preserve"> NOTEREF _Ref96864587 \h </w:instrText>
      </w:r>
      <w:r w:rsidR="00EC79BD" w:rsidRPr="002F2A14">
        <w:instrText xml:space="preserve"> \* MERGEFORMAT </w:instrText>
      </w:r>
      <w:r w:rsidR="00EC79BD" w:rsidRPr="002F2A14">
        <w:fldChar w:fldCharType="separate"/>
      </w:r>
      <w:r w:rsidR="00A927CD">
        <w:rPr>
          <w:vertAlign w:val="superscript"/>
        </w:rPr>
        <w:t>1</w:t>
      </w:r>
      <w:r w:rsidR="00EC79BD" w:rsidRPr="002F2A14">
        <w:fldChar w:fldCharType="end"/>
      </w:r>
      <w:r w:rsidRPr="00FE5E86">
        <w:t xml:space="preserve"> The final present-value estimates in this </w:t>
      </w:r>
      <w:r w:rsidRPr="00665233">
        <w:rPr>
          <w:b/>
          <w:bCs/>
        </w:rPr>
        <w:t>Benefit-Cost Analysis (BCA) utilized a 3.1% discount rate</w:t>
      </w:r>
      <w:r w:rsidRPr="00FE5E86">
        <w:t xml:space="preserve"> recommended by OMB Circular A-94 for both benefits and costs. Real dollars, also known as inflation-free or constant dollars, allow for consistent comparisons over time by negating the effects of inflation. </w:t>
      </w:r>
    </w:p>
    <w:p w14:paraId="5D390F71" w14:textId="77777777" w:rsidR="00193071" w:rsidRDefault="00193071" w:rsidP="00193071">
      <w:pPr>
        <w:pStyle w:val="Heading2"/>
      </w:pPr>
      <w:r w:rsidRPr="00B97838">
        <w:lastRenderedPageBreak/>
        <w:t xml:space="preserve">Summarized Costs </w:t>
      </w:r>
    </w:p>
    <w:p w14:paraId="711247E0" w14:textId="316407DE" w:rsidR="00193071" w:rsidRDefault="00193071" w:rsidP="00193071">
      <w:r w:rsidRPr="00065B27">
        <w:t>The costs for the Project</w:t>
      </w:r>
      <w:r>
        <w:t xml:space="preserve"> </w:t>
      </w:r>
      <w:r w:rsidRPr="00065B27">
        <w:t>in the year of expenditure amount to</w:t>
      </w:r>
      <w:r w:rsidR="001C45FF">
        <w:t xml:space="preserve"> $</w:t>
      </w:r>
      <w:r w:rsidR="00FC6208">
        <w:t>52,88</w:t>
      </w:r>
      <w:r w:rsidR="00EC4FDA">
        <w:t>4</w:t>
      </w:r>
      <w:r w:rsidR="00FC6208">
        <w:t>,</w:t>
      </w:r>
      <w:r w:rsidR="00EC4FDA">
        <w:t>2</w:t>
      </w:r>
      <w:r w:rsidR="00FC6208">
        <w:t>00</w:t>
      </w:r>
      <w:r w:rsidRPr="00065B27">
        <w:t xml:space="preserve"> (nominal dollars). Applying an annual inflation factor of 2.79%, the costs were discounted from the expenditure year to reflect real dollars in 2022. Consequently, the total project cost in 2022 real dollars is</w:t>
      </w:r>
      <w:r w:rsidR="00FC6208">
        <w:t xml:space="preserve"> $46,</w:t>
      </w:r>
      <w:r w:rsidR="00102920">
        <w:t>899</w:t>
      </w:r>
      <w:r w:rsidR="00FC6208">
        <w:t>,</w:t>
      </w:r>
      <w:r w:rsidR="00102920">
        <w:t>8</w:t>
      </w:r>
      <w:r w:rsidR="00FC6208">
        <w:t>00</w:t>
      </w:r>
      <w:r w:rsidRPr="00065B27">
        <w:t>. These costs are discounted at 3.1% from the expenditure year to 2022, resulting in total discounted costs of</w:t>
      </w:r>
      <w:r w:rsidR="00FC6208">
        <w:t xml:space="preserve"> $41,064,</w:t>
      </w:r>
      <w:r w:rsidR="00102920">
        <w:t>3</w:t>
      </w:r>
      <w:r w:rsidR="00FC6208">
        <w:t>00</w:t>
      </w:r>
    </w:p>
    <w:p w14:paraId="655C56CE" w14:textId="77777777" w:rsidR="00193071" w:rsidRPr="00337560" w:rsidRDefault="00193071" w:rsidP="00193071"/>
    <w:p w14:paraId="227B158C" w14:textId="59815E34" w:rsidR="00193071" w:rsidRDefault="00193071" w:rsidP="00193071">
      <w:pPr>
        <w:rPr>
          <w:sz w:val="18"/>
          <w:szCs w:val="18"/>
        </w:rPr>
      </w:pPr>
      <w:bookmarkStart w:id="10" w:name="_Ref121830850"/>
      <w:bookmarkStart w:id="11" w:name="_Toc142310177"/>
      <w:r w:rsidRPr="00FC6208">
        <w:rPr>
          <w:b/>
          <w:bCs/>
          <w:sz w:val="18"/>
          <w:szCs w:val="18"/>
        </w:rPr>
        <w:t xml:space="preserve">Table </w:t>
      </w:r>
      <w:r w:rsidRPr="00FC6208">
        <w:rPr>
          <w:b/>
          <w:bCs/>
          <w:sz w:val="18"/>
          <w:szCs w:val="18"/>
        </w:rPr>
        <w:fldChar w:fldCharType="begin"/>
      </w:r>
      <w:r w:rsidRPr="00FC6208">
        <w:rPr>
          <w:b/>
          <w:bCs/>
          <w:sz w:val="18"/>
          <w:szCs w:val="18"/>
        </w:rPr>
        <w:instrText xml:space="preserve"> SEQ Table \* ARABIC </w:instrText>
      </w:r>
      <w:r w:rsidRPr="00FC6208">
        <w:rPr>
          <w:b/>
          <w:bCs/>
          <w:sz w:val="18"/>
          <w:szCs w:val="18"/>
        </w:rPr>
        <w:fldChar w:fldCharType="separate"/>
      </w:r>
      <w:r w:rsidR="00A927CD">
        <w:rPr>
          <w:b/>
          <w:bCs/>
          <w:noProof/>
          <w:sz w:val="18"/>
          <w:szCs w:val="18"/>
        </w:rPr>
        <w:t>3</w:t>
      </w:r>
      <w:r w:rsidRPr="00FC6208">
        <w:rPr>
          <w:b/>
          <w:bCs/>
          <w:sz w:val="18"/>
          <w:szCs w:val="18"/>
        </w:rPr>
        <w:fldChar w:fldCharType="end"/>
      </w:r>
      <w:bookmarkEnd w:id="10"/>
      <w:r w:rsidRPr="00FC6208">
        <w:rPr>
          <w:b/>
          <w:bCs/>
          <w:sz w:val="18"/>
          <w:szCs w:val="18"/>
        </w:rPr>
        <w:t>.</w:t>
      </w:r>
      <w:r w:rsidRPr="00FC6208">
        <w:rPr>
          <w:sz w:val="18"/>
          <w:szCs w:val="18"/>
        </w:rPr>
        <w:t xml:space="preserve"> Project Costs</w:t>
      </w:r>
      <w:bookmarkEnd w:id="11"/>
    </w:p>
    <w:tbl>
      <w:tblPr>
        <w:tblStyle w:val="TGCLeftAlignment"/>
        <w:tblW w:w="9450" w:type="dxa"/>
        <w:tblLook w:val="04A0" w:firstRow="1" w:lastRow="0" w:firstColumn="1" w:lastColumn="0" w:noHBand="0" w:noVBand="1"/>
      </w:tblPr>
      <w:tblGrid>
        <w:gridCol w:w="2362"/>
        <w:gridCol w:w="2363"/>
        <w:gridCol w:w="2362"/>
        <w:gridCol w:w="2363"/>
      </w:tblGrid>
      <w:tr w:rsidR="00193071" w14:paraId="7196CD31" w14:textId="77777777">
        <w:trPr>
          <w:cnfStyle w:val="100000000000" w:firstRow="1" w:lastRow="0" w:firstColumn="0" w:lastColumn="0" w:oddVBand="0" w:evenVBand="0" w:oddHBand="0" w:evenHBand="0" w:firstRowFirstColumn="0" w:firstRowLastColumn="0" w:lastRowFirstColumn="0" w:lastRowLastColumn="0"/>
          <w:trHeight w:val="173"/>
        </w:trPr>
        <w:tc>
          <w:tcPr>
            <w:tcW w:w="2362" w:type="dxa"/>
          </w:tcPr>
          <w:p w14:paraId="66F6673C" w14:textId="77777777" w:rsidR="00193071" w:rsidRPr="00F3473C" w:rsidRDefault="00193071">
            <w:pPr>
              <w:jc w:val="center"/>
              <w:rPr>
                <w:szCs w:val="20"/>
              </w:rPr>
            </w:pPr>
            <w:r w:rsidRPr="00F3473C">
              <w:rPr>
                <w:szCs w:val="20"/>
              </w:rPr>
              <w:t>Cost</w:t>
            </w:r>
          </w:p>
        </w:tc>
        <w:tc>
          <w:tcPr>
            <w:tcW w:w="2363" w:type="dxa"/>
          </w:tcPr>
          <w:p w14:paraId="15E35EA9" w14:textId="77777777" w:rsidR="00193071" w:rsidRPr="00F3473C" w:rsidRDefault="00193071">
            <w:pPr>
              <w:jc w:val="center"/>
              <w:rPr>
                <w:szCs w:val="20"/>
              </w:rPr>
            </w:pPr>
            <w:r w:rsidRPr="00F3473C">
              <w:rPr>
                <w:szCs w:val="20"/>
              </w:rPr>
              <w:t>Nominal $</w:t>
            </w:r>
          </w:p>
          <w:p w14:paraId="4EB34885" w14:textId="77777777" w:rsidR="00193071" w:rsidRPr="00F3473C" w:rsidRDefault="00193071">
            <w:pPr>
              <w:jc w:val="center"/>
              <w:rPr>
                <w:szCs w:val="20"/>
              </w:rPr>
            </w:pPr>
            <w:r w:rsidRPr="00F3473C">
              <w:rPr>
                <w:szCs w:val="20"/>
              </w:rPr>
              <w:t>Year of Expenditure</w:t>
            </w:r>
          </w:p>
          <w:p w14:paraId="4EF1E8F6" w14:textId="77777777" w:rsidR="00193071" w:rsidRPr="00F3473C" w:rsidRDefault="00193071">
            <w:pPr>
              <w:jc w:val="center"/>
              <w:rPr>
                <w:szCs w:val="20"/>
              </w:rPr>
            </w:pPr>
            <w:r w:rsidRPr="00F3473C">
              <w:rPr>
                <w:szCs w:val="20"/>
              </w:rPr>
              <w:t>No Discount</w:t>
            </w:r>
          </w:p>
        </w:tc>
        <w:tc>
          <w:tcPr>
            <w:tcW w:w="2362" w:type="dxa"/>
          </w:tcPr>
          <w:p w14:paraId="31830C9F" w14:textId="77777777" w:rsidR="00193071" w:rsidRPr="00F3473C" w:rsidRDefault="00193071">
            <w:pPr>
              <w:jc w:val="center"/>
              <w:rPr>
                <w:szCs w:val="20"/>
              </w:rPr>
            </w:pPr>
            <w:r w:rsidRPr="00F3473C">
              <w:rPr>
                <w:szCs w:val="20"/>
              </w:rPr>
              <w:t>Real $</w:t>
            </w:r>
          </w:p>
          <w:p w14:paraId="0B87EEC8" w14:textId="77777777" w:rsidR="00193071" w:rsidRPr="00F3473C" w:rsidRDefault="00193071">
            <w:pPr>
              <w:jc w:val="center"/>
              <w:rPr>
                <w:szCs w:val="20"/>
              </w:rPr>
            </w:pPr>
            <w:r>
              <w:rPr>
                <w:szCs w:val="20"/>
              </w:rPr>
              <w:t>$2022</w:t>
            </w:r>
          </w:p>
          <w:p w14:paraId="78E018EA" w14:textId="77777777" w:rsidR="00193071" w:rsidRPr="00F3473C" w:rsidRDefault="00193071">
            <w:pPr>
              <w:jc w:val="center"/>
              <w:rPr>
                <w:szCs w:val="20"/>
              </w:rPr>
            </w:pPr>
            <w:r w:rsidRPr="00F3473C">
              <w:rPr>
                <w:szCs w:val="20"/>
              </w:rPr>
              <w:t>No Discount</w:t>
            </w:r>
          </w:p>
        </w:tc>
        <w:tc>
          <w:tcPr>
            <w:tcW w:w="2363" w:type="dxa"/>
          </w:tcPr>
          <w:p w14:paraId="4828B3EE" w14:textId="77777777" w:rsidR="00193071" w:rsidRPr="00F3473C" w:rsidRDefault="00193071">
            <w:pPr>
              <w:jc w:val="center"/>
              <w:rPr>
                <w:szCs w:val="20"/>
              </w:rPr>
            </w:pPr>
            <w:r>
              <w:rPr>
                <w:szCs w:val="20"/>
              </w:rPr>
              <w:t>3.1%</w:t>
            </w:r>
            <w:r w:rsidRPr="00F3473C">
              <w:rPr>
                <w:szCs w:val="20"/>
              </w:rPr>
              <w:t xml:space="preserve"> Discount</w:t>
            </w:r>
          </w:p>
          <w:p w14:paraId="5C8B9317" w14:textId="77777777" w:rsidR="00193071" w:rsidRPr="00F3473C" w:rsidRDefault="00193071">
            <w:pPr>
              <w:jc w:val="center"/>
              <w:rPr>
                <w:szCs w:val="20"/>
              </w:rPr>
            </w:pPr>
            <w:r>
              <w:rPr>
                <w:szCs w:val="20"/>
              </w:rPr>
              <w:t>$2022</w:t>
            </w:r>
          </w:p>
        </w:tc>
      </w:tr>
      <w:tr w:rsidR="00EC4FDA" w14:paraId="555D9308" w14:textId="77777777" w:rsidTr="009E3638">
        <w:trPr>
          <w:cnfStyle w:val="000000100000" w:firstRow="0" w:lastRow="0" w:firstColumn="0" w:lastColumn="0" w:oddVBand="0" w:evenVBand="0" w:oddHBand="1" w:evenHBand="0" w:firstRowFirstColumn="0" w:firstRowLastColumn="0" w:lastRowFirstColumn="0" w:lastRowLastColumn="0"/>
          <w:trHeight w:val="222"/>
        </w:trPr>
        <w:tc>
          <w:tcPr>
            <w:tcW w:w="2362" w:type="dxa"/>
          </w:tcPr>
          <w:p w14:paraId="414AC9F6" w14:textId="77777777" w:rsidR="00EC4FDA" w:rsidRPr="00660934" w:rsidRDefault="00EC4FDA" w:rsidP="00EC4FDA">
            <w:r w:rsidRPr="00660934">
              <w:t>Planning</w:t>
            </w:r>
          </w:p>
        </w:tc>
        <w:tc>
          <w:tcPr>
            <w:tcW w:w="2363" w:type="dxa"/>
          </w:tcPr>
          <w:p w14:paraId="6D32B144" w14:textId="63D6B6E0" w:rsidR="00EC4FDA" w:rsidRPr="002F7A98" w:rsidRDefault="00EC4FDA" w:rsidP="00EC4FDA">
            <w:pPr>
              <w:jc w:val="center"/>
              <w:rPr>
                <w:highlight w:val="yellow"/>
              </w:rPr>
            </w:pPr>
            <w:r>
              <w:rPr>
                <w:rFonts w:ascii="Calibri" w:hAnsi="Calibri" w:cs="Calibri"/>
              </w:rPr>
              <w:t xml:space="preserve">$50,000 </w:t>
            </w:r>
          </w:p>
        </w:tc>
        <w:tc>
          <w:tcPr>
            <w:tcW w:w="2362" w:type="dxa"/>
          </w:tcPr>
          <w:p w14:paraId="4CC761CF" w14:textId="1444CC6F" w:rsidR="00EC4FDA" w:rsidRPr="002F7A98" w:rsidRDefault="00EC4FDA" w:rsidP="00EC4FDA">
            <w:pPr>
              <w:jc w:val="center"/>
              <w:rPr>
                <w:highlight w:val="yellow"/>
              </w:rPr>
            </w:pPr>
            <w:r>
              <w:rPr>
                <w:rFonts w:ascii="Calibri" w:hAnsi="Calibri" w:cs="Calibri"/>
              </w:rPr>
              <w:t xml:space="preserve">$50,000 </w:t>
            </w:r>
          </w:p>
        </w:tc>
        <w:tc>
          <w:tcPr>
            <w:tcW w:w="2363" w:type="dxa"/>
          </w:tcPr>
          <w:p w14:paraId="18000F74" w14:textId="3B6750BC" w:rsidR="00EC4FDA" w:rsidRPr="002F7A98" w:rsidRDefault="00EC4FDA" w:rsidP="00EC4FDA">
            <w:pPr>
              <w:jc w:val="center"/>
              <w:rPr>
                <w:highlight w:val="yellow"/>
              </w:rPr>
            </w:pPr>
            <w:r>
              <w:rPr>
                <w:rFonts w:ascii="Calibri" w:hAnsi="Calibri" w:cs="Calibri"/>
              </w:rPr>
              <w:t xml:space="preserve">$50,000 </w:t>
            </w:r>
          </w:p>
        </w:tc>
      </w:tr>
      <w:tr w:rsidR="00EC4FDA" w14:paraId="61A44392" w14:textId="77777777" w:rsidTr="009E3638">
        <w:trPr>
          <w:cnfStyle w:val="000000010000" w:firstRow="0" w:lastRow="0" w:firstColumn="0" w:lastColumn="0" w:oddVBand="0" w:evenVBand="0" w:oddHBand="0" w:evenHBand="1" w:firstRowFirstColumn="0" w:firstRowLastColumn="0" w:lastRowFirstColumn="0" w:lastRowLastColumn="0"/>
          <w:trHeight w:val="150"/>
        </w:trPr>
        <w:tc>
          <w:tcPr>
            <w:tcW w:w="2362" w:type="dxa"/>
          </w:tcPr>
          <w:p w14:paraId="01DE7519" w14:textId="77777777" w:rsidR="00EC4FDA" w:rsidRPr="00660934" w:rsidRDefault="00EC4FDA" w:rsidP="00EC4FDA">
            <w:r w:rsidRPr="00660934">
              <w:t>Design/Environmental</w:t>
            </w:r>
          </w:p>
        </w:tc>
        <w:tc>
          <w:tcPr>
            <w:tcW w:w="2363" w:type="dxa"/>
          </w:tcPr>
          <w:p w14:paraId="4E3EF5BB" w14:textId="2A86A8D4" w:rsidR="00EC4FDA" w:rsidRPr="002F7A98" w:rsidRDefault="00EC4FDA" w:rsidP="00EC4FDA">
            <w:pPr>
              <w:jc w:val="center"/>
              <w:rPr>
                <w:highlight w:val="yellow"/>
              </w:rPr>
            </w:pPr>
            <w:r>
              <w:rPr>
                <w:rFonts w:ascii="Calibri" w:hAnsi="Calibri" w:cs="Calibri"/>
              </w:rPr>
              <w:t xml:space="preserve">$4,625,500 </w:t>
            </w:r>
          </w:p>
        </w:tc>
        <w:tc>
          <w:tcPr>
            <w:tcW w:w="2362" w:type="dxa"/>
          </w:tcPr>
          <w:p w14:paraId="6065E2DF" w14:textId="3BF87B01" w:rsidR="00EC4FDA" w:rsidRPr="002F7A98" w:rsidRDefault="00EC4FDA" w:rsidP="00EC4FDA">
            <w:pPr>
              <w:jc w:val="center"/>
              <w:rPr>
                <w:highlight w:val="yellow"/>
              </w:rPr>
            </w:pPr>
            <w:r>
              <w:rPr>
                <w:rFonts w:ascii="Calibri" w:hAnsi="Calibri" w:cs="Calibri"/>
              </w:rPr>
              <w:t xml:space="preserve">$4,259,100 </w:t>
            </w:r>
          </w:p>
        </w:tc>
        <w:tc>
          <w:tcPr>
            <w:tcW w:w="2363" w:type="dxa"/>
          </w:tcPr>
          <w:p w14:paraId="3FBD70FC" w14:textId="28E66463" w:rsidR="00EC4FDA" w:rsidRPr="002F7A98" w:rsidRDefault="00EC4FDA" w:rsidP="00EC4FDA">
            <w:pPr>
              <w:jc w:val="center"/>
              <w:rPr>
                <w:highlight w:val="yellow"/>
              </w:rPr>
            </w:pPr>
            <w:r>
              <w:rPr>
                <w:rFonts w:ascii="Calibri" w:hAnsi="Calibri" w:cs="Calibri"/>
              </w:rPr>
              <w:t xml:space="preserve">$3,886,300 </w:t>
            </w:r>
          </w:p>
        </w:tc>
      </w:tr>
      <w:tr w:rsidR="00EC4FDA" w:rsidRPr="00AA52D5" w14:paraId="77CEE4B1" w14:textId="77777777" w:rsidTr="009E3638">
        <w:trPr>
          <w:cnfStyle w:val="000000100000" w:firstRow="0" w:lastRow="0" w:firstColumn="0" w:lastColumn="0" w:oddVBand="0" w:evenVBand="0" w:oddHBand="1" w:evenHBand="0" w:firstRowFirstColumn="0" w:firstRowLastColumn="0" w:lastRowFirstColumn="0" w:lastRowLastColumn="0"/>
          <w:trHeight w:val="150"/>
        </w:trPr>
        <w:tc>
          <w:tcPr>
            <w:tcW w:w="2362" w:type="dxa"/>
          </w:tcPr>
          <w:p w14:paraId="75C11193" w14:textId="77777777" w:rsidR="00EC4FDA" w:rsidRPr="00660934" w:rsidRDefault="00EC4FDA" w:rsidP="00EC4FDA">
            <w:pPr>
              <w:rPr>
                <w:rFonts w:asciiTheme="majorHAnsi" w:hAnsiTheme="majorHAnsi"/>
              </w:rPr>
            </w:pPr>
            <w:r w:rsidRPr="00660934">
              <w:t>Construction</w:t>
            </w:r>
          </w:p>
        </w:tc>
        <w:tc>
          <w:tcPr>
            <w:tcW w:w="2363" w:type="dxa"/>
          </w:tcPr>
          <w:p w14:paraId="0ACC36EE" w14:textId="5CCDD6F8" w:rsidR="00EC4FDA" w:rsidRPr="002F7A98" w:rsidRDefault="00EC4FDA" w:rsidP="00EC4FDA">
            <w:pPr>
              <w:jc w:val="center"/>
              <w:rPr>
                <w:highlight w:val="yellow"/>
              </w:rPr>
            </w:pPr>
            <w:r>
              <w:rPr>
                <w:rFonts w:ascii="Calibri" w:hAnsi="Calibri" w:cs="Calibri"/>
              </w:rPr>
              <w:t xml:space="preserve">$48,208,700 </w:t>
            </w:r>
          </w:p>
        </w:tc>
        <w:tc>
          <w:tcPr>
            <w:tcW w:w="2362" w:type="dxa"/>
          </w:tcPr>
          <w:p w14:paraId="57640C1F" w14:textId="69C74435" w:rsidR="00EC4FDA" w:rsidRPr="002F7A98" w:rsidRDefault="00EC4FDA" w:rsidP="00EC4FDA">
            <w:pPr>
              <w:jc w:val="center"/>
              <w:rPr>
                <w:highlight w:val="yellow"/>
              </w:rPr>
            </w:pPr>
            <w:r>
              <w:rPr>
                <w:rFonts w:ascii="Calibri" w:hAnsi="Calibri" w:cs="Calibri"/>
              </w:rPr>
              <w:t xml:space="preserve">$42,590,700 </w:t>
            </w:r>
          </w:p>
        </w:tc>
        <w:tc>
          <w:tcPr>
            <w:tcW w:w="2363" w:type="dxa"/>
          </w:tcPr>
          <w:p w14:paraId="3431DBED" w14:textId="7042D80D" w:rsidR="00EC4FDA" w:rsidRPr="002F7A98" w:rsidRDefault="00EC4FDA" w:rsidP="00EC4FDA">
            <w:pPr>
              <w:keepNext/>
              <w:jc w:val="center"/>
              <w:rPr>
                <w:highlight w:val="yellow"/>
              </w:rPr>
            </w:pPr>
            <w:r>
              <w:rPr>
                <w:rFonts w:ascii="Calibri" w:hAnsi="Calibri" w:cs="Calibri"/>
              </w:rPr>
              <w:t xml:space="preserve">$37,128,000 </w:t>
            </w:r>
          </w:p>
        </w:tc>
      </w:tr>
      <w:tr w:rsidR="00EC4FDA" w:rsidRPr="00660934" w14:paraId="1D1CCF90" w14:textId="77777777" w:rsidTr="009E3638">
        <w:trPr>
          <w:cnfStyle w:val="000000010000" w:firstRow="0" w:lastRow="0" w:firstColumn="0" w:lastColumn="0" w:oddVBand="0" w:evenVBand="0" w:oddHBand="0" w:evenHBand="1" w:firstRowFirstColumn="0" w:firstRowLastColumn="0" w:lastRowFirstColumn="0" w:lastRowLastColumn="0"/>
          <w:trHeight w:val="150"/>
        </w:trPr>
        <w:tc>
          <w:tcPr>
            <w:tcW w:w="2362" w:type="dxa"/>
          </w:tcPr>
          <w:p w14:paraId="57285316" w14:textId="77777777" w:rsidR="00EC4FDA" w:rsidRPr="00660934" w:rsidRDefault="00EC4FDA" w:rsidP="00EC4FDA">
            <w:pPr>
              <w:rPr>
                <w:rFonts w:asciiTheme="majorHAnsi" w:hAnsiTheme="majorHAnsi"/>
                <w:b/>
                <w:bCs/>
                <w:color w:val="262626" w:themeColor="text1" w:themeTint="D9"/>
              </w:rPr>
            </w:pPr>
            <w:r w:rsidRPr="00660934">
              <w:rPr>
                <w:b/>
                <w:bCs/>
              </w:rPr>
              <w:t>Project Costs</w:t>
            </w:r>
          </w:p>
        </w:tc>
        <w:tc>
          <w:tcPr>
            <w:tcW w:w="2363" w:type="dxa"/>
          </w:tcPr>
          <w:p w14:paraId="41084557" w14:textId="494228AD" w:rsidR="00EC4FDA" w:rsidRPr="002F7A98" w:rsidRDefault="00EC4FDA" w:rsidP="00EC4FDA">
            <w:pPr>
              <w:jc w:val="center"/>
              <w:rPr>
                <w:b/>
                <w:bCs/>
                <w:highlight w:val="yellow"/>
              </w:rPr>
            </w:pPr>
            <w:r>
              <w:rPr>
                <w:rFonts w:ascii="Calibri" w:hAnsi="Calibri" w:cs="Calibri"/>
              </w:rPr>
              <w:t xml:space="preserve">$52,884,200 </w:t>
            </w:r>
          </w:p>
        </w:tc>
        <w:tc>
          <w:tcPr>
            <w:tcW w:w="2362" w:type="dxa"/>
          </w:tcPr>
          <w:p w14:paraId="7558E5FB" w14:textId="6D3D3191" w:rsidR="00EC4FDA" w:rsidRPr="002F7A98" w:rsidRDefault="00EC4FDA" w:rsidP="00EC4FDA">
            <w:pPr>
              <w:jc w:val="center"/>
              <w:rPr>
                <w:b/>
                <w:bCs/>
                <w:highlight w:val="yellow"/>
              </w:rPr>
            </w:pPr>
            <w:r>
              <w:rPr>
                <w:rFonts w:ascii="Calibri" w:hAnsi="Calibri" w:cs="Calibri"/>
              </w:rPr>
              <w:t xml:space="preserve">$46,899,800 </w:t>
            </w:r>
          </w:p>
        </w:tc>
        <w:tc>
          <w:tcPr>
            <w:tcW w:w="2363" w:type="dxa"/>
          </w:tcPr>
          <w:p w14:paraId="6E7BC40B" w14:textId="1B5F256D" w:rsidR="00EC4FDA" w:rsidRPr="002F7A98" w:rsidRDefault="00EC4FDA" w:rsidP="00EC4FDA">
            <w:pPr>
              <w:keepNext/>
              <w:jc w:val="center"/>
              <w:rPr>
                <w:b/>
                <w:bCs/>
                <w:highlight w:val="yellow"/>
              </w:rPr>
            </w:pPr>
            <w:r>
              <w:rPr>
                <w:rFonts w:ascii="Calibri" w:hAnsi="Calibri" w:cs="Calibri"/>
              </w:rPr>
              <w:t xml:space="preserve">$41,064,300 </w:t>
            </w:r>
          </w:p>
        </w:tc>
      </w:tr>
    </w:tbl>
    <w:p w14:paraId="7C01697E" w14:textId="77777777" w:rsidR="00193071" w:rsidRDefault="00193071" w:rsidP="00DC31A5"/>
    <w:p w14:paraId="44A90458" w14:textId="77777777" w:rsidR="00193071" w:rsidRPr="00546ECF" w:rsidRDefault="00193071" w:rsidP="00DC31A5"/>
    <w:p w14:paraId="46B0F092" w14:textId="77777777" w:rsidR="00DC31A5" w:rsidRDefault="00DC31A5" w:rsidP="00DC31A5">
      <w:pPr>
        <w:pStyle w:val="Heading2"/>
      </w:pPr>
      <w:r>
        <w:t>Planni</w:t>
      </w:r>
      <w:r w:rsidRPr="00B97838">
        <w:t>ng Ho</w:t>
      </w:r>
      <w:r>
        <w:t xml:space="preserve">rizon </w:t>
      </w:r>
    </w:p>
    <w:p w14:paraId="4FB594B9" w14:textId="5AEC47E5" w:rsidR="00DC31A5" w:rsidRDefault="0076010B" w:rsidP="00DC31A5">
      <w:r w:rsidRPr="0076010B">
        <w:t xml:space="preserve">The planning horizon spans from </w:t>
      </w:r>
      <w:r w:rsidRPr="00AA0D0B">
        <w:t>202</w:t>
      </w:r>
      <w:r w:rsidR="002F7A98" w:rsidRPr="00AA0D0B">
        <w:t>2</w:t>
      </w:r>
      <w:r w:rsidRPr="00AA0D0B">
        <w:t xml:space="preserve"> to 204</w:t>
      </w:r>
      <w:r w:rsidR="002F7A98" w:rsidRPr="00AA0D0B">
        <w:t>7</w:t>
      </w:r>
      <w:r w:rsidRPr="00AA0D0B">
        <w:t>,</w:t>
      </w:r>
      <w:r w:rsidRPr="0076010B">
        <w:t xml:space="preserve"> initiating from the project's planning phase. The Project is expected to begin operations in 202</w:t>
      </w:r>
      <w:r w:rsidR="003153D5">
        <w:t>8</w:t>
      </w:r>
      <w:r w:rsidRPr="0076010B">
        <w:t>, with a projected 20-year operating period. Consequently, benefits are quantified over the 20-year period from 202</w:t>
      </w:r>
      <w:r w:rsidR="003153D5">
        <w:t>8</w:t>
      </w:r>
      <w:r w:rsidRPr="0076010B">
        <w:t xml:space="preserve"> to 204</w:t>
      </w:r>
      <w:r w:rsidR="002F7A98">
        <w:t>7</w:t>
      </w:r>
      <w:r w:rsidRPr="0076010B">
        <w:t>.</w:t>
      </w:r>
    </w:p>
    <w:p w14:paraId="177ADFB3" w14:textId="77777777" w:rsidR="0076010B" w:rsidRDefault="0076010B" w:rsidP="00DC31A5"/>
    <w:p w14:paraId="04174C69" w14:textId="77777777" w:rsidR="00DC31A5" w:rsidRDefault="00DC31A5" w:rsidP="00DC31A5">
      <w:pPr>
        <w:pStyle w:val="Heading2"/>
      </w:pPr>
      <w:r>
        <w:t>No-Build Scenario</w:t>
      </w:r>
    </w:p>
    <w:p w14:paraId="3954F21D" w14:textId="7A03F83B" w:rsidR="00431272" w:rsidRDefault="007F3E69" w:rsidP="002E3E78">
      <w:r w:rsidRPr="007F3E69">
        <w:t>The No-Build scenario assumes minimal planned improvements to the project corridor's roadway. It considers factors such as future changes in traffic volumes and routine maintenance that would occur irrespective of the proposed project.</w:t>
      </w:r>
    </w:p>
    <w:p w14:paraId="7142C868" w14:textId="77777777" w:rsidR="007F3E69" w:rsidRDefault="007F3E69" w:rsidP="002E3E78"/>
    <w:p w14:paraId="12B5828D" w14:textId="76F2B223" w:rsidR="00036B48" w:rsidRDefault="00036B48" w:rsidP="00036B48">
      <w:pPr>
        <w:pStyle w:val="Heading2"/>
      </w:pPr>
      <w:r>
        <w:t>Build Scenario</w:t>
      </w:r>
    </w:p>
    <w:p w14:paraId="7DF6B9D7" w14:textId="25F7DCA4" w:rsidR="00C3475D" w:rsidRDefault="00825CAB" w:rsidP="00E1186D">
      <w:r w:rsidRPr="00825CAB">
        <w:t xml:space="preserve">The Build scenario entails </w:t>
      </w:r>
      <w:r w:rsidR="00DD36B3">
        <w:t>t</w:t>
      </w:r>
      <w:r w:rsidR="00DD36B3" w:rsidRPr="00DD36B3">
        <w:t>otal roadway reconstruction to include shared paths, intersection &amp; accessibility improvements, railroad safety improvements, upgraded Hawk signals for safer school crossings, drainage improvements, traffic signal &amp; street lighting upgrades, access management &amp; roadway reconfiguration with wider median to accommodate future Metro LRT</w:t>
      </w:r>
    </w:p>
    <w:p w14:paraId="17CB3DDA" w14:textId="77777777" w:rsidR="00825CAB" w:rsidRDefault="00825CAB" w:rsidP="00E1186D"/>
    <w:p w14:paraId="40BE0F8E" w14:textId="3522E760" w:rsidR="00A930EB" w:rsidRDefault="00A930EB" w:rsidP="00A930EB">
      <w:pPr>
        <w:rPr>
          <w:rFonts w:eastAsiaTheme="majorEastAsia" w:cstheme="majorBidi"/>
          <w:b/>
          <w:color w:val="0071CE" w:themeColor="accent3"/>
          <w:sz w:val="24"/>
          <w:szCs w:val="26"/>
        </w:rPr>
      </w:pPr>
      <w:r>
        <w:rPr>
          <w:rFonts w:eastAsiaTheme="majorEastAsia" w:cstheme="majorBidi"/>
          <w:b/>
          <w:color w:val="0071CE" w:themeColor="accent3"/>
          <w:sz w:val="24"/>
          <w:szCs w:val="26"/>
        </w:rPr>
        <w:t xml:space="preserve">Major Key Data Points </w:t>
      </w:r>
    </w:p>
    <w:p w14:paraId="543AF0E9" w14:textId="0631BFD4" w:rsidR="00A930EB" w:rsidRDefault="00CC6C99" w:rsidP="00A930EB">
      <w:r>
        <w:t>To</w:t>
      </w:r>
      <w:r w:rsidR="00A930EB">
        <w:t xml:space="preserve"> </w:t>
      </w:r>
      <w:r w:rsidR="00312364">
        <w:t xml:space="preserve">measure the economic value of outcomes to be achieved by a project, several key data points are used throughout the analysis. </w:t>
      </w:r>
      <w:r w:rsidR="00E606BB">
        <w:t xml:space="preserve"> </w:t>
      </w:r>
    </w:p>
    <w:p w14:paraId="4794401F" w14:textId="77777777" w:rsidR="00EB37DB" w:rsidRDefault="00EB37DB" w:rsidP="00A930EB"/>
    <w:p w14:paraId="63B7C7A4" w14:textId="7FAAD374" w:rsidR="006E787B" w:rsidRDefault="003A299A" w:rsidP="006E787B">
      <w:pPr>
        <w:pStyle w:val="Heading4"/>
      </w:pPr>
      <w:r>
        <w:t>A</w:t>
      </w:r>
      <w:r w:rsidR="00CA1041">
        <w:t xml:space="preserve">nnual </w:t>
      </w:r>
      <w:r w:rsidR="002B0E2C">
        <w:t>Average Daily Traffic</w:t>
      </w:r>
    </w:p>
    <w:p w14:paraId="2DF6632F" w14:textId="4BED7990" w:rsidR="00787541" w:rsidRDefault="001079F1" w:rsidP="002B0E2C">
      <w:pPr>
        <w:pStyle w:val="Caption"/>
        <w:spacing w:after="0"/>
        <w:rPr>
          <w:b/>
          <w:bCs/>
        </w:rPr>
      </w:pPr>
      <w:r w:rsidRPr="00831FF1">
        <w:t xml:space="preserve">Current and future vehicle </w:t>
      </w:r>
      <w:r w:rsidR="00713D4D">
        <w:t xml:space="preserve">daily volumes are </w:t>
      </w:r>
      <w:r w:rsidRPr="00831FF1">
        <w:t xml:space="preserve">obtained from the </w:t>
      </w:r>
      <w:r w:rsidR="001068FC" w:rsidRPr="00831FF1">
        <w:t xml:space="preserve">Texas Department of Transportation </w:t>
      </w:r>
      <w:r w:rsidRPr="00831FF1">
        <w:t xml:space="preserve">(TxDOT) </w:t>
      </w:r>
      <w:r w:rsidR="004A2CE0" w:rsidRPr="00831FF1">
        <w:t>Statewide Planning Map</w:t>
      </w:r>
      <w:r w:rsidR="004A2CE0">
        <w:rPr>
          <w:b/>
          <w:bCs/>
        </w:rPr>
        <w:t>.</w:t>
      </w:r>
      <w:r w:rsidR="00831FF1">
        <w:rPr>
          <w:rStyle w:val="FootnoteReference"/>
          <w:b/>
          <w:bCs/>
        </w:rPr>
        <w:footnoteReference w:id="3"/>
      </w:r>
      <w:r w:rsidR="004A2CE0">
        <w:rPr>
          <w:b/>
          <w:bCs/>
        </w:rPr>
        <w:t xml:space="preserve"> </w:t>
      </w:r>
      <w:r w:rsidR="00713D4D">
        <w:rPr>
          <w:b/>
          <w:bCs/>
        </w:rPr>
        <w:t xml:space="preserve"> </w:t>
      </w:r>
    </w:p>
    <w:p w14:paraId="481F32F2" w14:textId="77777777" w:rsidR="002B0E2C" w:rsidRPr="002B0E2C" w:rsidRDefault="002B0E2C" w:rsidP="002B0E2C"/>
    <w:p w14:paraId="4EA3236F" w14:textId="294F240E" w:rsidR="006E787B" w:rsidRPr="00B71344" w:rsidRDefault="006E787B" w:rsidP="006E787B">
      <w:pPr>
        <w:pStyle w:val="Caption"/>
        <w:spacing w:after="0"/>
      </w:pPr>
      <w:r w:rsidRPr="00D1315F">
        <w:rPr>
          <w:b/>
          <w:bCs/>
        </w:rPr>
        <w:t xml:space="preserve">Table </w:t>
      </w:r>
      <w:r w:rsidRPr="00D1315F">
        <w:rPr>
          <w:b/>
          <w:bCs/>
        </w:rPr>
        <w:fldChar w:fldCharType="begin"/>
      </w:r>
      <w:r w:rsidRPr="00D1315F">
        <w:rPr>
          <w:b/>
          <w:bCs/>
        </w:rPr>
        <w:instrText xml:space="preserve"> SEQ Table \* ARABIC </w:instrText>
      </w:r>
      <w:r w:rsidRPr="00D1315F">
        <w:rPr>
          <w:b/>
          <w:bCs/>
        </w:rPr>
        <w:fldChar w:fldCharType="separate"/>
      </w:r>
      <w:r w:rsidR="00A927CD">
        <w:rPr>
          <w:b/>
          <w:bCs/>
          <w:noProof/>
        </w:rPr>
        <w:t>4</w:t>
      </w:r>
      <w:r w:rsidRPr="00D1315F">
        <w:rPr>
          <w:b/>
          <w:bCs/>
        </w:rPr>
        <w:fldChar w:fldCharType="end"/>
      </w:r>
      <w:r w:rsidRPr="00D1315F">
        <w:rPr>
          <w:b/>
          <w:bCs/>
        </w:rPr>
        <w:t>.</w:t>
      </w:r>
      <w:r w:rsidRPr="00D1315F">
        <w:t xml:space="preserve"> Average Daily Traffic Volume</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831FF1" w14:paraId="3111D858" w14:textId="5E9E32A9" w:rsidTr="00831FF1">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63932633" w14:textId="77777777" w:rsidR="00831FF1" w:rsidRDefault="00831FF1">
            <w:pPr>
              <w:pStyle w:val="ListParagraph"/>
              <w:ind w:left="0"/>
              <w:rPr>
                <w:b w:val="0"/>
                <w:bCs w:val="0"/>
              </w:rPr>
            </w:pPr>
            <w:r>
              <w:t>Segment</w:t>
            </w:r>
          </w:p>
        </w:tc>
        <w:tc>
          <w:tcPr>
            <w:tcW w:w="1542" w:type="dxa"/>
          </w:tcPr>
          <w:p w14:paraId="1F2D5A4E" w14:textId="3731392C"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EB5BCC">
              <w:t>8</w:t>
            </w:r>
          </w:p>
        </w:tc>
        <w:tc>
          <w:tcPr>
            <w:tcW w:w="1260" w:type="dxa"/>
          </w:tcPr>
          <w:p w14:paraId="29EE2BC4" w14:textId="04C0A0BB"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204</w:t>
            </w:r>
            <w:r w:rsidR="00EB5BCC">
              <w:t>7</w:t>
            </w:r>
          </w:p>
        </w:tc>
        <w:tc>
          <w:tcPr>
            <w:tcW w:w="1872" w:type="dxa"/>
          </w:tcPr>
          <w:p w14:paraId="760A6744" w14:textId="4A1665F6" w:rsidR="00831FF1" w:rsidRDefault="00831FF1">
            <w:pPr>
              <w:pStyle w:val="ListParagraph"/>
              <w:ind w:left="0"/>
              <w:cnfStyle w:val="100000000000" w:firstRow="1" w:lastRow="0" w:firstColumn="0" w:lastColumn="0" w:oddVBand="0" w:evenVBand="0" w:oddHBand="0" w:evenHBand="0" w:firstRowFirstColumn="0" w:firstRowLastColumn="0" w:lastRowFirstColumn="0" w:lastRowLastColumn="0"/>
            </w:pPr>
            <w:r>
              <w:t>CAGR</w:t>
            </w:r>
          </w:p>
        </w:tc>
      </w:tr>
      <w:tr w:rsidR="00D1315F" w:rsidRPr="00EB37DB" w14:paraId="07357A28" w14:textId="30C6DB2A" w:rsidTr="00BE33E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14A56F27" w14:textId="04760265" w:rsidR="00D1315F" w:rsidRPr="00EB37DB" w:rsidRDefault="0097660A" w:rsidP="00D1315F">
            <w:pPr>
              <w:pStyle w:val="ListParagraph"/>
              <w:ind w:left="0"/>
              <w:rPr>
                <w:b/>
                <w:bCs w:val="0"/>
                <w:highlight w:val="yellow"/>
              </w:rPr>
            </w:pPr>
            <w:r w:rsidRPr="0097660A">
              <w:rPr>
                <w:rFonts w:ascii="Calibri" w:hAnsi="Calibri" w:cs="Calibri"/>
                <w:color w:val="000000"/>
              </w:rPr>
              <w:t>Broadway Street (IH-45 to SH 225)</w:t>
            </w:r>
          </w:p>
        </w:tc>
        <w:tc>
          <w:tcPr>
            <w:tcW w:w="1542" w:type="dxa"/>
          </w:tcPr>
          <w:p w14:paraId="29A5F413" w14:textId="4B225C73" w:rsidR="00D1315F" w:rsidRPr="00EB37DB" w:rsidRDefault="00D1315F" w:rsidP="00D1315F">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13,440</w:t>
            </w:r>
          </w:p>
        </w:tc>
        <w:tc>
          <w:tcPr>
            <w:tcW w:w="1260" w:type="dxa"/>
          </w:tcPr>
          <w:p w14:paraId="5E914CA0" w14:textId="6ED0DCA4" w:rsidR="00D1315F" w:rsidRPr="00EB37DB" w:rsidRDefault="00D1315F" w:rsidP="00D1315F">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20,791</w:t>
            </w:r>
          </w:p>
        </w:tc>
        <w:tc>
          <w:tcPr>
            <w:tcW w:w="1872" w:type="dxa"/>
          </w:tcPr>
          <w:p w14:paraId="57D2B3A5" w14:textId="63626358" w:rsidR="00D1315F" w:rsidRPr="00EB37DB" w:rsidRDefault="00D1315F" w:rsidP="00D1315F">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2.32%</w:t>
            </w:r>
          </w:p>
        </w:tc>
      </w:tr>
    </w:tbl>
    <w:p w14:paraId="08472D4D" w14:textId="77777777" w:rsidR="00D1315F" w:rsidRDefault="00D1315F" w:rsidP="001343E2"/>
    <w:p w14:paraId="18DD0636" w14:textId="3C9A58A3" w:rsidR="003A299A" w:rsidRDefault="00FC5D34" w:rsidP="003A299A">
      <w:pPr>
        <w:pStyle w:val="Heading4"/>
      </w:pPr>
      <w:r>
        <w:t xml:space="preserve">Daily </w:t>
      </w:r>
      <w:r w:rsidR="00871F17">
        <w:t>Vehicle Miles Traveled</w:t>
      </w:r>
    </w:p>
    <w:p w14:paraId="29C872FE" w14:textId="68F78438" w:rsidR="00144E3B" w:rsidRDefault="00144E3B" w:rsidP="007E4592">
      <w:r>
        <w:t xml:space="preserve">Vehicle miles traveled are calculated </w:t>
      </w:r>
      <w:r w:rsidR="00CC5E6E">
        <w:t xml:space="preserve">by multiplying the daily AADT by the length of the project corridor.  </w:t>
      </w:r>
    </w:p>
    <w:p w14:paraId="1F4D378C" w14:textId="77777777" w:rsidR="00CC5E6E" w:rsidRDefault="00CC5E6E" w:rsidP="003A299A">
      <w:pPr>
        <w:pStyle w:val="Caption"/>
        <w:spacing w:after="0"/>
        <w:rPr>
          <w:b/>
          <w:bCs/>
        </w:rPr>
      </w:pPr>
    </w:p>
    <w:p w14:paraId="5184D8D0" w14:textId="5B65C561" w:rsidR="003A299A" w:rsidRDefault="003A299A" w:rsidP="003A299A">
      <w:pPr>
        <w:pStyle w:val="Caption"/>
        <w:spacing w:after="0"/>
      </w:pPr>
      <w:r w:rsidRPr="007F0D39">
        <w:rPr>
          <w:b/>
          <w:bCs/>
        </w:rPr>
        <w:t xml:space="preserve">Table </w:t>
      </w:r>
      <w:r w:rsidRPr="007F0D39">
        <w:rPr>
          <w:b/>
          <w:bCs/>
        </w:rPr>
        <w:fldChar w:fldCharType="begin"/>
      </w:r>
      <w:r w:rsidRPr="007F0D39">
        <w:rPr>
          <w:b/>
          <w:bCs/>
        </w:rPr>
        <w:instrText xml:space="preserve"> SEQ Table \* ARABIC </w:instrText>
      </w:r>
      <w:r w:rsidRPr="007F0D39">
        <w:rPr>
          <w:b/>
          <w:bCs/>
        </w:rPr>
        <w:fldChar w:fldCharType="separate"/>
      </w:r>
      <w:r w:rsidR="00A927CD">
        <w:rPr>
          <w:b/>
          <w:bCs/>
          <w:noProof/>
        </w:rPr>
        <w:t>5</w:t>
      </w:r>
      <w:r w:rsidRPr="007F0D39">
        <w:rPr>
          <w:b/>
          <w:bCs/>
        </w:rPr>
        <w:fldChar w:fldCharType="end"/>
      </w:r>
      <w:r w:rsidRPr="007F0D39">
        <w:rPr>
          <w:b/>
          <w:bCs/>
        </w:rPr>
        <w:t>.</w:t>
      </w:r>
      <w:r w:rsidRPr="007F0D39">
        <w:t xml:space="preserve"> Average Daily </w:t>
      </w:r>
      <w:r w:rsidR="005B322B" w:rsidRPr="007F0D39">
        <w:t>Vehicle Miles Traveled</w:t>
      </w:r>
      <w:r w:rsidR="00CC5E6E" w:rsidRPr="007F0D39">
        <w:t xml:space="preserve"> (</w:t>
      </w:r>
      <w:r w:rsidR="00CC5E6E" w:rsidRPr="007F0D39">
        <w:rPr>
          <w:b/>
          <w:bCs/>
        </w:rPr>
        <w:t>Without</w:t>
      </w:r>
      <w:r w:rsidR="00CC5E6E" w:rsidRPr="007F0D39">
        <w:t xml:space="preserve"> Modal Diversion)</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3810DF" w14:paraId="310A5B1B" w14:textId="77777777">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42D50DC4" w14:textId="77777777" w:rsidR="003810DF" w:rsidRDefault="003810DF" w:rsidP="003810DF">
            <w:pPr>
              <w:pStyle w:val="ListParagraph"/>
              <w:ind w:left="0"/>
              <w:rPr>
                <w:b w:val="0"/>
                <w:bCs w:val="0"/>
              </w:rPr>
            </w:pPr>
            <w:r>
              <w:t>Segment</w:t>
            </w:r>
          </w:p>
        </w:tc>
        <w:tc>
          <w:tcPr>
            <w:tcW w:w="1542" w:type="dxa"/>
          </w:tcPr>
          <w:p w14:paraId="6FDFD8DC" w14:textId="77777777" w:rsidR="003810DF" w:rsidRDefault="0024588E" w:rsidP="003810DF">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Corridor</w:t>
            </w:r>
            <w:r w:rsidR="003810DF" w:rsidRPr="003810DF">
              <w:t xml:space="preserve"> Length</w:t>
            </w:r>
          </w:p>
          <w:p w14:paraId="027DF45E" w14:textId="4EB46277" w:rsidR="00970484" w:rsidRPr="003810DF" w:rsidRDefault="00970484" w:rsidP="003810DF">
            <w:pPr>
              <w:pStyle w:val="ListParagraph"/>
              <w:ind w:left="0"/>
              <w:cnfStyle w:val="100000000000" w:firstRow="1" w:lastRow="0" w:firstColumn="0" w:lastColumn="0" w:oddVBand="0" w:evenVBand="0" w:oddHBand="0" w:evenHBand="0" w:firstRowFirstColumn="0" w:firstRowLastColumn="0" w:lastRowFirstColumn="0" w:lastRowLastColumn="0"/>
            </w:pPr>
            <w:r>
              <w:t>Miles</w:t>
            </w:r>
          </w:p>
        </w:tc>
        <w:tc>
          <w:tcPr>
            <w:tcW w:w="1260" w:type="dxa"/>
          </w:tcPr>
          <w:p w14:paraId="35147DA9" w14:textId="337007F1" w:rsidR="003810DF" w:rsidRDefault="003810DF" w:rsidP="003810DF">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FB6B9C">
              <w:t>8</w:t>
            </w:r>
          </w:p>
        </w:tc>
        <w:tc>
          <w:tcPr>
            <w:tcW w:w="1872" w:type="dxa"/>
          </w:tcPr>
          <w:p w14:paraId="6E25891F" w14:textId="11768A97" w:rsidR="003810DF" w:rsidRDefault="003810DF" w:rsidP="003810DF">
            <w:pPr>
              <w:pStyle w:val="ListParagraph"/>
              <w:ind w:left="0"/>
              <w:cnfStyle w:val="100000000000" w:firstRow="1" w:lastRow="0" w:firstColumn="0" w:lastColumn="0" w:oddVBand="0" w:evenVBand="0" w:oddHBand="0" w:evenHBand="0" w:firstRowFirstColumn="0" w:firstRowLastColumn="0" w:lastRowFirstColumn="0" w:lastRowLastColumn="0"/>
            </w:pPr>
            <w:r>
              <w:t>204</w:t>
            </w:r>
            <w:r w:rsidR="00FB6B9C">
              <w:t>7</w:t>
            </w:r>
          </w:p>
        </w:tc>
      </w:tr>
      <w:tr w:rsidR="00BB259E" w14:paraId="6DFFB7D1" w14:textId="77777777" w:rsidTr="00424228">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7555E390" w14:textId="7AFF026C" w:rsidR="00BB259E" w:rsidRPr="00EB37DB" w:rsidRDefault="0097660A" w:rsidP="00BB259E">
            <w:pPr>
              <w:pStyle w:val="ListParagraph"/>
              <w:ind w:left="0"/>
              <w:rPr>
                <w:b/>
                <w:bCs w:val="0"/>
                <w:highlight w:val="yellow"/>
              </w:rPr>
            </w:pPr>
            <w:r w:rsidRPr="0097660A">
              <w:rPr>
                <w:rFonts w:ascii="Calibri" w:hAnsi="Calibri" w:cs="Calibri"/>
                <w:color w:val="000000"/>
              </w:rPr>
              <w:t>Broadway Street (IH-45 to SH 225)</w:t>
            </w:r>
          </w:p>
        </w:tc>
        <w:tc>
          <w:tcPr>
            <w:tcW w:w="1542" w:type="dxa"/>
          </w:tcPr>
          <w:p w14:paraId="7B07F376" w14:textId="1C856939" w:rsidR="00BB259E" w:rsidRPr="00EB37DB" w:rsidRDefault="00BB259E" w:rsidP="00BB259E">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1.81</w:t>
            </w:r>
          </w:p>
        </w:tc>
        <w:tc>
          <w:tcPr>
            <w:tcW w:w="1260" w:type="dxa"/>
          </w:tcPr>
          <w:p w14:paraId="7B13E249" w14:textId="55015FB3" w:rsidR="00BB259E" w:rsidRPr="00EB37DB" w:rsidRDefault="00BB259E" w:rsidP="00BB259E">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24,326</w:t>
            </w:r>
          </w:p>
        </w:tc>
        <w:tc>
          <w:tcPr>
            <w:tcW w:w="1872" w:type="dxa"/>
          </w:tcPr>
          <w:p w14:paraId="44DD046E" w14:textId="004772F3" w:rsidR="00BB259E" w:rsidRPr="00EB37DB" w:rsidRDefault="00BB259E" w:rsidP="00BB259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37,632</w:t>
            </w:r>
          </w:p>
        </w:tc>
      </w:tr>
    </w:tbl>
    <w:p w14:paraId="2EAB9550" w14:textId="77777777" w:rsidR="003810DF" w:rsidRDefault="003810DF" w:rsidP="003810DF"/>
    <w:p w14:paraId="19EB44C0" w14:textId="65FE9C33" w:rsidR="00535843" w:rsidRDefault="00535843" w:rsidP="00535843">
      <w:pPr>
        <w:pStyle w:val="Heading4"/>
      </w:pPr>
      <w:r>
        <w:t>Daily Vehicle Miles Traveled with Modal Diversion</w:t>
      </w:r>
    </w:p>
    <w:p w14:paraId="04C63C75" w14:textId="54A16EA6" w:rsidR="007E4592" w:rsidRDefault="007E4592" w:rsidP="007E4592">
      <w:r>
        <w:t>The benefits of active transportation improvements of the Project are mostly derived from the new projected walking and cycling trips diverted from automobile usage.</w:t>
      </w:r>
      <w:r w:rsidR="00D6470D">
        <w:t xml:space="preserve"> </w:t>
      </w:r>
      <w:r w:rsidR="00846FE4">
        <w:t xml:space="preserve">New </w:t>
      </w:r>
      <w:r w:rsidR="00503D8F">
        <w:t xml:space="preserve">daily induced trips are gathered from the </w:t>
      </w:r>
      <w:r w:rsidR="00503D8F" w:rsidRPr="00503D8F">
        <w:t>Activity-Connectivity Explorer (ACE) Advance viewer interactive web app on H-GAC website</w:t>
      </w:r>
      <w:r w:rsidR="00F3331B">
        <w:t>.</w:t>
      </w:r>
      <w:r w:rsidR="00D6470D">
        <w:t xml:space="preserve">  Th</w:t>
      </w:r>
      <w:r w:rsidR="00D36B46">
        <w:t>e induced</w:t>
      </w:r>
      <w:r w:rsidR="00D6470D">
        <w:t xml:space="preserve"> daily trips are multiplied by </w:t>
      </w:r>
      <w:r w:rsidR="00A80229">
        <w:t xml:space="preserve">the pedestrian facility length </w:t>
      </w:r>
      <w:r w:rsidR="00A80229" w:rsidRPr="007F0D39">
        <w:t>(0.</w:t>
      </w:r>
      <w:r w:rsidR="007F0D39" w:rsidRPr="007F0D39">
        <w:t>86</w:t>
      </w:r>
      <w:r w:rsidR="00A80229" w:rsidRPr="007F0D39">
        <w:t xml:space="preserve"> mi)</w:t>
      </w:r>
      <w:r w:rsidR="00A80229">
        <w:t xml:space="preserve"> </w:t>
      </w:r>
      <w:r w:rsidR="00693FC5">
        <w:t>and the bike facility length (</w:t>
      </w:r>
      <w:r w:rsidR="007F0D39">
        <w:t>2.38 mi</w:t>
      </w:r>
      <w:r w:rsidR="00693FC5">
        <w:t>)</w:t>
      </w:r>
      <w:r w:rsidR="00F3331B">
        <w:t xml:space="preserve"> </w:t>
      </w:r>
      <w:r w:rsidR="00D36B46">
        <w:t xml:space="preserve">to estimate the VMT reduction </w:t>
      </w:r>
      <w:r w:rsidR="00800C09">
        <w:t xml:space="preserve">derived from modal diversion. </w:t>
      </w:r>
    </w:p>
    <w:p w14:paraId="26297CE9" w14:textId="77777777" w:rsidR="00A61200" w:rsidRDefault="00A61200" w:rsidP="00A61200">
      <w:pPr>
        <w:pStyle w:val="Caption"/>
        <w:spacing w:after="0"/>
        <w:rPr>
          <w:b/>
          <w:bCs/>
        </w:rPr>
      </w:pPr>
    </w:p>
    <w:p w14:paraId="02CF9A07" w14:textId="5FDB744E" w:rsidR="00A61200" w:rsidRDefault="00A61200" w:rsidP="00A61200">
      <w:pPr>
        <w:pStyle w:val="Caption"/>
        <w:spacing w:after="0"/>
      </w:pPr>
      <w:r w:rsidRPr="00FB6B9C">
        <w:rPr>
          <w:b/>
          <w:bCs/>
        </w:rPr>
        <w:t xml:space="preserve">Table </w:t>
      </w:r>
      <w:r w:rsidRPr="00FB6B9C">
        <w:rPr>
          <w:b/>
          <w:bCs/>
        </w:rPr>
        <w:fldChar w:fldCharType="begin"/>
      </w:r>
      <w:r w:rsidRPr="00FB6B9C">
        <w:rPr>
          <w:b/>
          <w:bCs/>
        </w:rPr>
        <w:instrText xml:space="preserve"> SEQ Table \* ARABIC </w:instrText>
      </w:r>
      <w:r w:rsidRPr="00FB6B9C">
        <w:rPr>
          <w:b/>
          <w:bCs/>
        </w:rPr>
        <w:fldChar w:fldCharType="separate"/>
      </w:r>
      <w:r w:rsidR="00A927CD">
        <w:rPr>
          <w:b/>
          <w:bCs/>
          <w:noProof/>
        </w:rPr>
        <w:t>6</w:t>
      </w:r>
      <w:r w:rsidRPr="00FB6B9C">
        <w:rPr>
          <w:b/>
          <w:bCs/>
        </w:rPr>
        <w:fldChar w:fldCharType="end"/>
      </w:r>
      <w:r w:rsidRPr="00FB6B9C">
        <w:rPr>
          <w:b/>
          <w:bCs/>
        </w:rPr>
        <w:t>.</w:t>
      </w:r>
      <w:r w:rsidRPr="00FB6B9C">
        <w:t xml:space="preserve"> </w:t>
      </w:r>
      <w:r w:rsidR="00374037" w:rsidRPr="00FB6B9C">
        <w:t xml:space="preserve">Daily </w:t>
      </w:r>
      <w:r w:rsidR="00427C17" w:rsidRPr="00FB6B9C">
        <w:t>VMT Reduced by Modal Diversion</w:t>
      </w:r>
    </w:p>
    <w:tbl>
      <w:tblPr>
        <w:tblStyle w:val="TGCCenterAlignment"/>
        <w:tblW w:w="9539" w:type="dxa"/>
        <w:tblInd w:w="-5" w:type="dxa"/>
        <w:tblLook w:val="04A0" w:firstRow="1" w:lastRow="0" w:firstColumn="1" w:lastColumn="0" w:noHBand="0" w:noVBand="1"/>
      </w:tblPr>
      <w:tblGrid>
        <w:gridCol w:w="1306"/>
        <w:gridCol w:w="2379"/>
        <w:gridCol w:w="2121"/>
        <w:gridCol w:w="1923"/>
        <w:gridCol w:w="1810"/>
      </w:tblGrid>
      <w:tr w:rsidR="00E6047D" w14:paraId="17ED8F2A" w14:textId="77777777" w:rsidTr="00562A61">
        <w:trPr>
          <w:cnfStyle w:val="100000000000" w:firstRow="1" w:lastRow="0" w:firstColumn="0" w:lastColumn="0" w:oddVBand="0" w:evenVBand="0" w:oddHBand="0" w:evenHBand="0" w:firstRowFirstColumn="0" w:firstRowLastColumn="0" w:lastRowFirstColumn="0" w:lastRowLastColumn="0"/>
          <w:trHeight w:val="291"/>
        </w:trPr>
        <w:tc>
          <w:tcPr>
            <w:cnfStyle w:val="001000000100" w:firstRow="0" w:lastRow="0" w:firstColumn="1" w:lastColumn="0" w:oddVBand="0" w:evenVBand="0" w:oddHBand="0" w:evenHBand="0" w:firstRowFirstColumn="1" w:firstRowLastColumn="0" w:lastRowFirstColumn="0" w:lastRowLastColumn="0"/>
            <w:tcW w:w="1306" w:type="dxa"/>
          </w:tcPr>
          <w:p w14:paraId="707E856B" w14:textId="7F3F31B1" w:rsidR="00E6047D" w:rsidRDefault="00E6047D">
            <w:pPr>
              <w:pStyle w:val="ListParagraph"/>
              <w:ind w:left="0"/>
              <w:rPr>
                <w:b w:val="0"/>
                <w:bCs w:val="0"/>
              </w:rPr>
            </w:pPr>
            <w:r>
              <w:t>Mode</w:t>
            </w:r>
          </w:p>
        </w:tc>
        <w:tc>
          <w:tcPr>
            <w:tcW w:w="2379" w:type="dxa"/>
          </w:tcPr>
          <w:p w14:paraId="54E1924E" w14:textId="1A8DE941" w:rsidR="00E6047D" w:rsidRDefault="00761F6D" w:rsidP="00665233">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Daily </w:t>
            </w:r>
            <w:r w:rsidR="00E6047D">
              <w:t>Induced Demand</w:t>
            </w:r>
          </w:p>
          <w:p w14:paraId="3545E469" w14:textId="662A633D" w:rsidR="00E6047D" w:rsidRDefault="00E6047D" w:rsidP="00665233">
            <w:pPr>
              <w:pStyle w:val="ListParagraph"/>
              <w:ind w:left="0"/>
              <w:cnfStyle w:val="100000000000" w:firstRow="1" w:lastRow="0" w:firstColumn="0" w:lastColumn="0" w:oddVBand="0" w:evenVBand="0" w:oddHBand="0" w:evenHBand="0" w:firstRowFirstColumn="0" w:firstRowLastColumn="0" w:lastRowFirstColumn="0" w:lastRowLastColumn="0"/>
            </w:pPr>
            <w:r>
              <w:t>202</w:t>
            </w:r>
            <w:r w:rsidR="00FB6B9C">
              <w:t>8</w:t>
            </w:r>
          </w:p>
        </w:tc>
        <w:tc>
          <w:tcPr>
            <w:tcW w:w="2121" w:type="dxa"/>
          </w:tcPr>
          <w:p w14:paraId="3DE63F55" w14:textId="4E908796" w:rsidR="00E6047D" w:rsidRDefault="00761F6D" w:rsidP="00A61200">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Daily </w:t>
            </w:r>
            <w:r w:rsidR="00E6047D">
              <w:t>Induced Demand</w:t>
            </w:r>
          </w:p>
          <w:p w14:paraId="76DD0DA2" w14:textId="169281DD" w:rsidR="00E6047D" w:rsidRDefault="00E6047D" w:rsidP="00A61200">
            <w:pPr>
              <w:pStyle w:val="ListParagraph"/>
              <w:ind w:left="0"/>
              <w:cnfStyle w:val="100000000000" w:firstRow="1" w:lastRow="0" w:firstColumn="0" w:lastColumn="0" w:oddVBand="0" w:evenVBand="0" w:oddHBand="0" w:evenHBand="0" w:firstRowFirstColumn="0" w:firstRowLastColumn="0" w:lastRowFirstColumn="0" w:lastRowLastColumn="0"/>
            </w:pPr>
            <w:r>
              <w:t>204</w:t>
            </w:r>
            <w:r w:rsidR="00FB6B9C">
              <w:t>7</w:t>
            </w:r>
          </w:p>
        </w:tc>
        <w:tc>
          <w:tcPr>
            <w:tcW w:w="1923" w:type="dxa"/>
          </w:tcPr>
          <w:p w14:paraId="0AD8F034" w14:textId="10329D01" w:rsidR="00E6047D" w:rsidRPr="00A61200" w:rsidRDefault="00761F6D">
            <w:pPr>
              <w:pStyle w:val="ListParagraph"/>
              <w:ind w:left="0"/>
              <w:cnfStyle w:val="100000000000" w:firstRow="1" w:lastRow="0" w:firstColumn="0" w:lastColumn="0" w:oddVBand="0" w:evenVBand="0" w:oddHBand="0" w:evenHBand="0" w:firstRowFirstColumn="0" w:firstRowLastColumn="0" w:lastRowFirstColumn="0" w:lastRowLastColumn="0"/>
            </w:pPr>
            <w:r>
              <w:t xml:space="preserve">Daily </w:t>
            </w:r>
            <w:r w:rsidR="00E6047D" w:rsidRPr="00A61200">
              <w:t>VMT</w:t>
            </w:r>
            <w:r w:rsidR="0087780A">
              <w:t xml:space="preserve"> Reduced</w:t>
            </w:r>
          </w:p>
          <w:p w14:paraId="40D13C41" w14:textId="693BD5F6" w:rsidR="00E6047D" w:rsidRDefault="00E6047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202</w:t>
            </w:r>
            <w:r w:rsidR="00FB6B9C">
              <w:t>8</w:t>
            </w:r>
          </w:p>
        </w:tc>
        <w:tc>
          <w:tcPr>
            <w:tcW w:w="1810" w:type="dxa"/>
          </w:tcPr>
          <w:p w14:paraId="44DD8391" w14:textId="32D97F8B" w:rsidR="00E6047D" w:rsidRPr="00A61200" w:rsidRDefault="00761F6D">
            <w:pPr>
              <w:pStyle w:val="ListParagraph"/>
              <w:ind w:left="0"/>
              <w:cnfStyle w:val="100000000000" w:firstRow="1" w:lastRow="0" w:firstColumn="0" w:lastColumn="0" w:oddVBand="0" w:evenVBand="0" w:oddHBand="0" w:evenHBand="0" w:firstRowFirstColumn="0" w:firstRowLastColumn="0" w:lastRowFirstColumn="0" w:lastRowLastColumn="0"/>
            </w:pPr>
            <w:r>
              <w:t xml:space="preserve">Daily </w:t>
            </w:r>
            <w:r w:rsidR="00E6047D" w:rsidRPr="00A61200">
              <w:t>VMT</w:t>
            </w:r>
            <w:r w:rsidR="0087780A">
              <w:t xml:space="preserve"> Reduced</w:t>
            </w:r>
          </w:p>
          <w:p w14:paraId="3601501F" w14:textId="1732BC47" w:rsidR="00E6047D" w:rsidRDefault="00E6047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204</w:t>
            </w:r>
            <w:r w:rsidR="00FB6B9C">
              <w:t>7</w:t>
            </w:r>
          </w:p>
        </w:tc>
      </w:tr>
      <w:tr w:rsidR="000B79CB" w14:paraId="6492B321" w14:textId="77777777" w:rsidTr="00AE0064">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bottom w:val="single" w:sz="4" w:space="0" w:color="5B9BD5" w:themeColor="accent4"/>
            </w:tcBorders>
          </w:tcPr>
          <w:p w14:paraId="0F99F8A1" w14:textId="359CD302" w:rsidR="000B79CB" w:rsidRPr="0024588E" w:rsidRDefault="000B79CB" w:rsidP="000B79CB">
            <w:pPr>
              <w:pStyle w:val="ListParagraph"/>
              <w:ind w:left="0"/>
            </w:pPr>
            <w:r w:rsidRPr="0024588E">
              <w:t>Pedestrian</w:t>
            </w:r>
          </w:p>
        </w:tc>
        <w:tc>
          <w:tcPr>
            <w:tcW w:w="2379" w:type="dxa"/>
            <w:tcBorders>
              <w:bottom w:val="single" w:sz="4" w:space="0" w:color="5B9BD5" w:themeColor="accent4"/>
            </w:tcBorders>
          </w:tcPr>
          <w:p w14:paraId="452C0697" w14:textId="1FBF5EC9"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75</w:t>
            </w:r>
          </w:p>
        </w:tc>
        <w:tc>
          <w:tcPr>
            <w:tcW w:w="2121" w:type="dxa"/>
            <w:tcBorders>
              <w:bottom w:val="single" w:sz="4" w:space="0" w:color="5B9BD5" w:themeColor="accent4"/>
            </w:tcBorders>
          </w:tcPr>
          <w:p w14:paraId="46F1DEA6" w14:textId="2C61533C"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115</w:t>
            </w:r>
          </w:p>
        </w:tc>
        <w:tc>
          <w:tcPr>
            <w:tcW w:w="1923" w:type="dxa"/>
            <w:tcBorders>
              <w:bottom w:val="single" w:sz="4" w:space="0" w:color="5B9BD5" w:themeColor="accent4"/>
            </w:tcBorders>
            <w:shd w:val="clear" w:color="auto" w:fill="E7E6E6" w:themeFill="background2"/>
          </w:tcPr>
          <w:p w14:paraId="20E3FF13" w14:textId="4AE9DBDA"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64</w:t>
            </w:r>
          </w:p>
        </w:tc>
        <w:tc>
          <w:tcPr>
            <w:tcW w:w="1810" w:type="dxa"/>
            <w:tcBorders>
              <w:bottom w:val="single" w:sz="4" w:space="0" w:color="5B9BD5" w:themeColor="accent4"/>
            </w:tcBorders>
            <w:shd w:val="clear" w:color="auto" w:fill="E7E6E6" w:themeFill="background2"/>
          </w:tcPr>
          <w:p w14:paraId="65BD336C" w14:textId="1793669C"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99</w:t>
            </w:r>
          </w:p>
        </w:tc>
      </w:tr>
      <w:tr w:rsidR="000B79CB" w14:paraId="1128E31B" w14:textId="77777777" w:rsidTr="008C6D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bottom w:val="double" w:sz="4" w:space="0" w:color="5B9BD5" w:themeColor="accent4"/>
            </w:tcBorders>
          </w:tcPr>
          <w:p w14:paraId="6AEEDB71" w14:textId="6044F267" w:rsidR="000B79CB" w:rsidRPr="00FE0810" w:rsidRDefault="000B79CB" w:rsidP="000B79CB">
            <w:pPr>
              <w:pStyle w:val="ListParagraph"/>
              <w:ind w:left="0"/>
            </w:pPr>
            <w:r>
              <w:t>Bike</w:t>
            </w:r>
          </w:p>
        </w:tc>
        <w:tc>
          <w:tcPr>
            <w:tcW w:w="2379" w:type="dxa"/>
            <w:tcBorders>
              <w:bottom w:val="double" w:sz="4" w:space="0" w:color="5B9BD5" w:themeColor="accent4"/>
            </w:tcBorders>
          </w:tcPr>
          <w:p w14:paraId="3123F1D8" w14:textId="44E652AB"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180</w:t>
            </w:r>
          </w:p>
        </w:tc>
        <w:tc>
          <w:tcPr>
            <w:tcW w:w="2121" w:type="dxa"/>
            <w:tcBorders>
              <w:bottom w:val="double" w:sz="4" w:space="0" w:color="5B9BD5" w:themeColor="accent4"/>
            </w:tcBorders>
          </w:tcPr>
          <w:p w14:paraId="31033F7A" w14:textId="01FD4976"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278</w:t>
            </w:r>
          </w:p>
        </w:tc>
        <w:tc>
          <w:tcPr>
            <w:tcW w:w="1923" w:type="dxa"/>
            <w:tcBorders>
              <w:bottom w:val="double" w:sz="4" w:space="0" w:color="5B9BD5" w:themeColor="accent4"/>
            </w:tcBorders>
            <w:shd w:val="clear" w:color="auto" w:fill="E7E6E6" w:themeFill="background2"/>
          </w:tcPr>
          <w:p w14:paraId="686571D0" w14:textId="7EDFFC37"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rPr>
              <w:t>428</w:t>
            </w:r>
          </w:p>
        </w:tc>
        <w:tc>
          <w:tcPr>
            <w:tcW w:w="1810" w:type="dxa"/>
            <w:tcBorders>
              <w:bottom w:val="double" w:sz="4" w:space="0" w:color="5B9BD5" w:themeColor="accent4"/>
            </w:tcBorders>
            <w:shd w:val="clear" w:color="auto" w:fill="E7E6E6" w:themeFill="background2"/>
          </w:tcPr>
          <w:p w14:paraId="16CC2AD5" w14:textId="1797C272" w:rsidR="000B79CB" w:rsidRPr="00B81101" w:rsidRDefault="000B79CB" w:rsidP="000B79CB">
            <w:pPr>
              <w:pStyle w:val="ListParagraph"/>
              <w:ind w:left="0"/>
              <w:cnfStyle w:val="000000010000" w:firstRow="0" w:lastRow="0" w:firstColumn="0" w:lastColumn="0" w:oddVBand="0" w:evenVBand="0" w:oddHBand="0" w:evenHBand="1" w:firstRowFirstColumn="0" w:firstRowLastColumn="0" w:lastRowFirstColumn="0" w:lastRowLastColumn="0"/>
              <w:rPr>
                <w:highlight w:val="yellow"/>
              </w:rPr>
            </w:pPr>
            <w:r>
              <w:rPr>
                <w:rFonts w:ascii="Calibri" w:hAnsi="Calibri" w:cs="Calibri"/>
              </w:rPr>
              <w:t>662</w:t>
            </w:r>
          </w:p>
        </w:tc>
      </w:tr>
      <w:tr w:rsidR="000B79CB" w14:paraId="1E2BCE89" w14:textId="77777777" w:rsidTr="008C6DBE">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top w:val="double" w:sz="4" w:space="0" w:color="5B9BD5" w:themeColor="accent4"/>
              <w:bottom w:val="dotDotDash" w:sz="4" w:space="0" w:color="5B9BD5" w:themeColor="accent4"/>
            </w:tcBorders>
          </w:tcPr>
          <w:p w14:paraId="15D274C2" w14:textId="5ED44D1E" w:rsidR="000B79CB" w:rsidRDefault="000B79CB" w:rsidP="000B79CB">
            <w:pPr>
              <w:pStyle w:val="ListParagraph"/>
              <w:ind w:left="0"/>
            </w:pPr>
            <w:r>
              <w:t xml:space="preserve">Total </w:t>
            </w:r>
          </w:p>
        </w:tc>
        <w:tc>
          <w:tcPr>
            <w:tcW w:w="2379" w:type="dxa"/>
            <w:tcBorders>
              <w:top w:val="double" w:sz="4" w:space="0" w:color="5B9BD5" w:themeColor="accent4"/>
              <w:bottom w:val="dotDotDash" w:sz="4" w:space="0" w:color="5B9BD5" w:themeColor="accent4"/>
            </w:tcBorders>
          </w:tcPr>
          <w:p w14:paraId="45D5F977" w14:textId="0B33EC26"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254</w:t>
            </w:r>
          </w:p>
        </w:tc>
        <w:tc>
          <w:tcPr>
            <w:tcW w:w="2121" w:type="dxa"/>
            <w:tcBorders>
              <w:top w:val="double" w:sz="4" w:space="0" w:color="5B9BD5" w:themeColor="accent4"/>
              <w:bottom w:val="dotDotDash" w:sz="4" w:space="0" w:color="5B9BD5" w:themeColor="accent4"/>
            </w:tcBorders>
          </w:tcPr>
          <w:p w14:paraId="3CD0238C" w14:textId="61853029"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393</w:t>
            </w:r>
          </w:p>
        </w:tc>
        <w:tc>
          <w:tcPr>
            <w:tcW w:w="1923" w:type="dxa"/>
            <w:tcBorders>
              <w:top w:val="double" w:sz="4" w:space="0" w:color="5B9BD5" w:themeColor="accent4"/>
              <w:bottom w:val="dotDotDash" w:sz="4" w:space="0" w:color="5B9BD5" w:themeColor="accent4"/>
            </w:tcBorders>
            <w:shd w:val="clear" w:color="auto" w:fill="E7E6E6" w:themeFill="background2"/>
          </w:tcPr>
          <w:p w14:paraId="17F0791E" w14:textId="7D521F97"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492</w:t>
            </w:r>
          </w:p>
        </w:tc>
        <w:tc>
          <w:tcPr>
            <w:tcW w:w="1810" w:type="dxa"/>
            <w:tcBorders>
              <w:top w:val="double" w:sz="4" w:space="0" w:color="5B9BD5" w:themeColor="accent4"/>
              <w:bottom w:val="dotDotDash" w:sz="4" w:space="0" w:color="5B9BD5" w:themeColor="accent4"/>
            </w:tcBorders>
            <w:shd w:val="clear" w:color="auto" w:fill="E7E6E6" w:themeFill="background2"/>
          </w:tcPr>
          <w:p w14:paraId="7F6343C5" w14:textId="654A278A" w:rsidR="000B79CB" w:rsidRPr="00B81101" w:rsidRDefault="000B79CB" w:rsidP="000B79C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761</w:t>
            </w:r>
          </w:p>
        </w:tc>
      </w:tr>
      <w:tr w:rsidR="00F018EF" w14:paraId="6FDEF315" w14:textId="77777777" w:rsidTr="008C6DBE">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306" w:type="dxa"/>
            <w:tcBorders>
              <w:top w:val="dotDotDash" w:sz="4" w:space="0" w:color="5B9BD5" w:themeColor="accent4"/>
            </w:tcBorders>
          </w:tcPr>
          <w:p w14:paraId="1B066B78" w14:textId="537B9110" w:rsidR="00F018EF" w:rsidRDefault="00F018EF" w:rsidP="00F018EF">
            <w:pPr>
              <w:pStyle w:val="ListParagraph"/>
              <w:ind w:left="0"/>
            </w:pPr>
            <w:r>
              <w:t>Transit</w:t>
            </w:r>
          </w:p>
        </w:tc>
        <w:tc>
          <w:tcPr>
            <w:tcW w:w="2379" w:type="dxa"/>
            <w:tcBorders>
              <w:top w:val="dotDotDash" w:sz="4" w:space="0" w:color="5B9BD5" w:themeColor="accent4"/>
            </w:tcBorders>
          </w:tcPr>
          <w:p w14:paraId="60558ED1" w14:textId="0A54259C"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80</w:t>
            </w:r>
          </w:p>
        </w:tc>
        <w:tc>
          <w:tcPr>
            <w:tcW w:w="2121" w:type="dxa"/>
            <w:tcBorders>
              <w:top w:val="dotDotDash" w:sz="4" w:space="0" w:color="5B9BD5" w:themeColor="accent4"/>
            </w:tcBorders>
          </w:tcPr>
          <w:p w14:paraId="4D54D8EB" w14:textId="2A006389"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86</w:t>
            </w:r>
          </w:p>
        </w:tc>
        <w:tc>
          <w:tcPr>
            <w:tcW w:w="1923" w:type="dxa"/>
            <w:tcBorders>
              <w:top w:val="dotDotDash" w:sz="4" w:space="0" w:color="5B9BD5" w:themeColor="accent4"/>
            </w:tcBorders>
            <w:shd w:val="clear" w:color="auto" w:fill="E7E6E6" w:themeFill="background2"/>
          </w:tcPr>
          <w:p w14:paraId="4B1285EA" w14:textId="0A938FE9"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453</w:t>
            </w:r>
          </w:p>
        </w:tc>
        <w:tc>
          <w:tcPr>
            <w:tcW w:w="1810" w:type="dxa"/>
            <w:tcBorders>
              <w:top w:val="dotDotDash" w:sz="4" w:space="0" w:color="5B9BD5" w:themeColor="accent4"/>
            </w:tcBorders>
            <w:shd w:val="clear" w:color="auto" w:fill="E7E6E6" w:themeFill="background2"/>
          </w:tcPr>
          <w:p w14:paraId="20A833FB" w14:textId="7A013DCC" w:rsidR="00F018EF" w:rsidRDefault="00F018EF" w:rsidP="00F018EF">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488</w:t>
            </w:r>
          </w:p>
        </w:tc>
      </w:tr>
    </w:tbl>
    <w:p w14:paraId="17250AAC" w14:textId="77777777" w:rsidR="00924D7D" w:rsidRDefault="00924D7D" w:rsidP="00924D7D">
      <w:pPr>
        <w:pStyle w:val="Caption"/>
        <w:spacing w:after="0"/>
        <w:rPr>
          <w:b/>
          <w:bCs/>
        </w:rPr>
      </w:pPr>
    </w:p>
    <w:p w14:paraId="4B73D0AA" w14:textId="4760513A" w:rsidR="00924D7D" w:rsidRDefault="00924D7D" w:rsidP="00924D7D">
      <w:pPr>
        <w:pStyle w:val="Caption"/>
        <w:spacing w:after="0"/>
      </w:pPr>
      <w:r w:rsidRPr="002565DE">
        <w:rPr>
          <w:b/>
          <w:bCs/>
        </w:rPr>
        <w:t xml:space="preserve">Table </w:t>
      </w:r>
      <w:r w:rsidRPr="002565DE">
        <w:rPr>
          <w:b/>
          <w:bCs/>
        </w:rPr>
        <w:fldChar w:fldCharType="begin"/>
      </w:r>
      <w:r w:rsidRPr="002565DE">
        <w:rPr>
          <w:b/>
          <w:bCs/>
        </w:rPr>
        <w:instrText xml:space="preserve"> SEQ Table \* ARABIC </w:instrText>
      </w:r>
      <w:r w:rsidRPr="002565DE">
        <w:rPr>
          <w:b/>
          <w:bCs/>
        </w:rPr>
        <w:fldChar w:fldCharType="separate"/>
      </w:r>
      <w:r w:rsidR="00A927CD">
        <w:rPr>
          <w:b/>
          <w:bCs/>
          <w:noProof/>
        </w:rPr>
        <w:t>7</w:t>
      </w:r>
      <w:r w:rsidRPr="002565DE">
        <w:rPr>
          <w:b/>
          <w:bCs/>
        </w:rPr>
        <w:fldChar w:fldCharType="end"/>
      </w:r>
      <w:r w:rsidRPr="002565DE">
        <w:rPr>
          <w:b/>
          <w:bCs/>
        </w:rPr>
        <w:t>.</w:t>
      </w:r>
      <w:r w:rsidRPr="002565DE">
        <w:t xml:space="preserve"> Average Daily Vehicle Miles Traveled (</w:t>
      </w:r>
      <w:r w:rsidRPr="002565DE">
        <w:rPr>
          <w:b/>
          <w:bCs/>
        </w:rPr>
        <w:t>With</w:t>
      </w:r>
      <w:r w:rsidRPr="002565DE">
        <w:t xml:space="preserve"> Modal Diversion)</w:t>
      </w:r>
    </w:p>
    <w:tbl>
      <w:tblPr>
        <w:tblStyle w:val="TGCCenterAlignment"/>
        <w:tblW w:w="9432" w:type="dxa"/>
        <w:tblInd w:w="-5" w:type="dxa"/>
        <w:tblLook w:val="04A0" w:firstRow="1" w:lastRow="0" w:firstColumn="1" w:lastColumn="0" w:noHBand="0" w:noVBand="1"/>
      </w:tblPr>
      <w:tblGrid>
        <w:gridCol w:w="4758"/>
        <w:gridCol w:w="1542"/>
        <w:gridCol w:w="1260"/>
        <w:gridCol w:w="1872"/>
      </w:tblGrid>
      <w:tr w:rsidR="00924D7D" w14:paraId="7C3DF98E" w14:textId="77777777" w:rsidTr="00172BBD">
        <w:trPr>
          <w:cnfStyle w:val="100000000000" w:firstRow="1" w:lastRow="0" w:firstColumn="0" w:lastColumn="0" w:oddVBand="0" w:evenVBand="0" w:oddHBand="0" w:evenHBand="0" w:firstRowFirstColumn="0" w:firstRowLastColumn="0" w:lastRowFirstColumn="0" w:lastRowLastColumn="0"/>
          <w:trHeight w:val="273"/>
        </w:trPr>
        <w:tc>
          <w:tcPr>
            <w:cnfStyle w:val="001000000100" w:firstRow="0" w:lastRow="0" w:firstColumn="1" w:lastColumn="0" w:oddVBand="0" w:evenVBand="0" w:oddHBand="0" w:evenHBand="0" w:firstRowFirstColumn="1" w:firstRowLastColumn="0" w:lastRowFirstColumn="0" w:lastRowLastColumn="0"/>
            <w:tcW w:w="4758" w:type="dxa"/>
          </w:tcPr>
          <w:p w14:paraId="3518F07C" w14:textId="77777777" w:rsidR="00924D7D" w:rsidRDefault="00924D7D" w:rsidP="00172BBD">
            <w:pPr>
              <w:pStyle w:val="ListParagraph"/>
              <w:ind w:left="0"/>
              <w:rPr>
                <w:b w:val="0"/>
                <w:bCs w:val="0"/>
              </w:rPr>
            </w:pPr>
            <w:r>
              <w:t>Segment</w:t>
            </w:r>
          </w:p>
        </w:tc>
        <w:tc>
          <w:tcPr>
            <w:tcW w:w="1542" w:type="dxa"/>
          </w:tcPr>
          <w:p w14:paraId="18CEA003" w14:textId="77777777" w:rsidR="00924D7D"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Corridor</w:t>
            </w:r>
            <w:r w:rsidRPr="003810DF">
              <w:t xml:space="preserve"> Length</w:t>
            </w:r>
          </w:p>
          <w:p w14:paraId="49DD5A32" w14:textId="77777777" w:rsidR="00924D7D" w:rsidRPr="003810DF"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pPr>
            <w:r>
              <w:t>Miles</w:t>
            </w:r>
          </w:p>
        </w:tc>
        <w:tc>
          <w:tcPr>
            <w:tcW w:w="1260" w:type="dxa"/>
          </w:tcPr>
          <w:p w14:paraId="4BDA1877" w14:textId="72A1B15C" w:rsidR="00924D7D"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20</w:t>
            </w:r>
            <w:r w:rsidR="00AA2A2C">
              <w:t>28</w:t>
            </w:r>
          </w:p>
        </w:tc>
        <w:tc>
          <w:tcPr>
            <w:tcW w:w="1872" w:type="dxa"/>
          </w:tcPr>
          <w:p w14:paraId="08E96114" w14:textId="782884B2" w:rsidR="00924D7D" w:rsidRDefault="00924D7D" w:rsidP="00172BBD">
            <w:pPr>
              <w:pStyle w:val="ListParagraph"/>
              <w:ind w:left="0"/>
              <w:cnfStyle w:val="100000000000" w:firstRow="1" w:lastRow="0" w:firstColumn="0" w:lastColumn="0" w:oddVBand="0" w:evenVBand="0" w:oddHBand="0" w:evenHBand="0" w:firstRowFirstColumn="0" w:firstRowLastColumn="0" w:lastRowFirstColumn="0" w:lastRowLastColumn="0"/>
            </w:pPr>
            <w:r>
              <w:t>20</w:t>
            </w:r>
            <w:r w:rsidR="00AA2A2C">
              <w:t>47</w:t>
            </w:r>
          </w:p>
        </w:tc>
      </w:tr>
      <w:tr w:rsidR="005259FB" w14:paraId="0DCD66BE" w14:textId="77777777" w:rsidTr="00172BBD">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758" w:type="dxa"/>
          </w:tcPr>
          <w:p w14:paraId="709BACC0" w14:textId="36EE1ED2" w:rsidR="005259FB" w:rsidRPr="00151470" w:rsidRDefault="0097660A" w:rsidP="005259FB">
            <w:pPr>
              <w:pStyle w:val="ListParagraph"/>
              <w:ind w:left="0"/>
              <w:rPr>
                <w:highlight w:val="yellow"/>
              </w:rPr>
            </w:pPr>
            <w:r w:rsidRPr="0097660A">
              <w:rPr>
                <w:rFonts w:ascii="Calibri" w:hAnsi="Calibri" w:cs="Calibri"/>
                <w:color w:val="000000"/>
              </w:rPr>
              <w:t>Broadway Street (IH-45 to SH 225)</w:t>
            </w:r>
          </w:p>
        </w:tc>
        <w:tc>
          <w:tcPr>
            <w:tcW w:w="1542" w:type="dxa"/>
          </w:tcPr>
          <w:p w14:paraId="1F3F3ECF" w14:textId="242EECE1" w:rsidR="005259FB" w:rsidRPr="00EB37DB" w:rsidRDefault="005259FB" w:rsidP="005259FB">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color w:val="000000"/>
              </w:rPr>
              <w:t>1.81</w:t>
            </w:r>
          </w:p>
        </w:tc>
        <w:tc>
          <w:tcPr>
            <w:tcW w:w="1260" w:type="dxa"/>
          </w:tcPr>
          <w:p w14:paraId="585944D1" w14:textId="054AFC94" w:rsidR="005259FB" w:rsidRPr="00323B73" w:rsidRDefault="005259FB" w:rsidP="005259FB">
            <w:pPr>
              <w:pStyle w:val="ListParagraph"/>
              <w:ind w:left="0"/>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23,834</w:t>
            </w:r>
          </w:p>
        </w:tc>
        <w:tc>
          <w:tcPr>
            <w:tcW w:w="1872" w:type="dxa"/>
          </w:tcPr>
          <w:p w14:paraId="73B1F9E9" w14:textId="2E865901" w:rsidR="005259FB" w:rsidRPr="00323B73" w:rsidRDefault="005259FB" w:rsidP="005259FB">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color w:val="000000"/>
              </w:rPr>
              <w:t>36,871</w:t>
            </w:r>
          </w:p>
        </w:tc>
      </w:tr>
    </w:tbl>
    <w:p w14:paraId="5C285CB1" w14:textId="77777777" w:rsidR="00FB6B9C" w:rsidRDefault="00FB6B9C" w:rsidP="001343E2"/>
    <w:p w14:paraId="6D15ACCF" w14:textId="77777777" w:rsidR="00416700" w:rsidRDefault="00416700" w:rsidP="002E7ECD">
      <w:pPr>
        <w:pStyle w:val="Heading1"/>
      </w:pPr>
      <w:r>
        <w:br w:type="page"/>
      </w:r>
    </w:p>
    <w:p w14:paraId="698E1481" w14:textId="6BAD2948" w:rsidR="002A266D" w:rsidRPr="00E71EB6" w:rsidRDefault="002A266D" w:rsidP="002E7ECD">
      <w:pPr>
        <w:pStyle w:val="Heading1"/>
      </w:pPr>
      <w:r w:rsidRPr="00E71EB6">
        <w:lastRenderedPageBreak/>
        <w:t xml:space="preserve">Project Specific Monetized Benefits </w:t>
      </w:r>
    </w:p>
    <w:p w14:paraId="12393EB4" w14:textId="47EAB47B" w:rsidR="00F72B55" w:rsidRDefault="007E17D8" w:rsidP="003A6359">
      <w:pPr>
        <w:pStyle w:val="BodyText"/>
      </w:pPr>
      <w:r>
        <w:t xml:space="preserve">The </w:t>
      </w:r>
      <w:r w:rsidRPr="00097322">
        <w:t xml:space="preserve">2024 USDOT </w:t>
      </w:r>
      <w:r>
        <w:t xml:space="preserve">BCA </w:t>
      </w:r>
      <w:r w:rsidR="0039485B">
        <w:t xml:space="preserve">guidance provides </w:t>
      </w:r>
      <w:r w:rsidR="001B6B02">
        <w:t xml:space="preserve">guidance on </w:t>
      </w:r>
      <w:r w:rsidR="00213AD8">
        <w:t>an</w:t>
      </w:r>
      <w:r w:rsidR="001B6B02">
        <w:t xml:space="preserve"> array of benefits that can be monetized using </w:t>
      </w:r>
      <w:r w:rsidR="00B95A67">
        <w:t xml:space="preserve">parameters provided by the USDOT. </w:t>
      </w:r>
      <w:r w:rsidR="003113D2" w:rsidRPr="003113D2">
        <w:t xml:space="preserve">Proceeding with the </w:t>
      </w:r>
      <w:r w:rsidR="003113D2" w:rsidRPr="003113D2">
        <w:rPr>
          <w:b/>
          <w:bCs/>
        </w:rPr>
        <w:t>Build</w:t>
      </w:r>
      <w:r w:rsidR="003113D2" w:rsidRPr="003113D2">
        <w:t xml:space="preserve"> scenario will yield the following monetizable societal benefits; however, there are also associated disbenefits with the project, as explained below</w:t>
      </w:r>
      <w:r w:rsidR="00F72B55" w:rsidRPr="00D738DD">
        <w:t>:</w:t>
      </w:r>
      <w:r w:rsidR="00F72B55">
        <w:t xml:space="preserve"> </w:t>
      </w:r>
    </w:p>
    <w:p w14:paraId="18F33B97" w14:textId="77777777" w:rsidR="00F72B55" w:rsidRPr="00D7252A" w:rsidRDefault="00F72B55" w:rsidP="00F72B55">
      <w:pPr>
        <w:rPr>
          <w:b/>
          <w:bCs/>
          <w:i/>
          <w:iCs/>
        </w:rPr>
      </w:pPr>
      <w:bookmarkStart w:id="12" w:name="_Hlk75342429"/>
    </w:p>
    <w:bookmarkEnd w:id="12"/>
    <w:p w14:paraId="4641DF6E" w14:textId="77777777" w:rsidR="00F72B55" w:rsidRPr="003D6DAE" w:rsidRDefault="00F72B55" w:rsidP="003D6DAE">
      <w:pPr>
        <w:pStyle w:val="Heading4"/>
      </w:pPr>
      <w:r w:rsidRPr="003D6DAE">
        <w:t xml:space="preserve">Benefit 1: Remaining Useful Life of Asset </w:t>
      </w:r>
    </w:p>
    <w:p w14:paraId="20F8EC2E" w14:textId="7EED42BA" w:rsidR="00060991" w:rsidRDefault="00060991" w:rsidP="006453C4">
      <w:r w:rsidRPr="00060991">
        <w:t xml:space="preserve">The asset </w:t>
      </w:r>
      <w:r w:rsidR="00931171">
        <w:t>is expected to have</w:t>
      </w:r>
      <w:r w:rsidR="00931171" w:rsidRPr="00931171">
        <w:t xml:space="preserve"> a 50-year useful life. After 20 years of operation, 60% of its useful life will </w:t>
      </w:r>
      <w:r w:rsidR="00457702" w:rsidRPr="00931171">
        <w:t>remain</w:t>
      </w:r>
      <w:r w:rsidR="00931171" w:rsidRPr="00931171">
        <w:t xml:space="preserve"> at the end of the planning horizon</w:t>
      </w:r>
      <w:r w:rsidRPr="00060991">
        <w:t>.</w:t>
      </w:r>
    </w:p>
    <w:p w14:paraId="6839F85F" w14:textId="77777777" w:rsidR="0050482D" w:rsidRDefault="0050482D" w:rsidP="0050482D">
      <w:pPr>
        <w:pStyle w:val="Caption"/>
        <w:spacing w:after="0"/>
        <w:rPr>
          <w:b/>
          <w:bCs/>
        </w:rPr>
      </w:pPr>
    </w:p>
    <w:p w14:paraId="61523381" w14:textId="31E58A23" w:rsidR="0050482D" w:rsidRPr="00901DA4" w:rsidRDefault="0050482D" w:rsidP="0050482D">
      <w:pPr>
        <w:pStyle w:val="Caption"/>
        <w:spacing w:after="0"/>
      </w:pPr>
      <w:r w:rsidRPr="00901DA4">
        <w:rPr>
          <w:b/>
          <w:bCs/>
        </w:rPr>
        <w:t xml:space="preserve">Table </w:t>
      </w:r>
      <w:r w:rsidRPr="00901DA4">
        <w:rPr>
          <w:b/>
          <w:bCs/>
        </w:rPr>
        <w:fldChar w:fldCharType="begin"/>
      </w:r>
      <w:r w:rsidRPr="00901DA4">
        <w:rPr>
          <w:b/>
          <w:bCs/>
        </w:rPr>
        <w:instrText xml:space="preserve"> SEQ Table \* ARABIC </w:instrText>
      </w:r>
      <w:r w:rsidRPr="00901DA4">
        <w:rPr>
          <w:b/>
          <w:bCs/>
        </w:rPr>
        <w:fldChar w:fldCharType="separate"/>
      </w:r>
      <w:r w:rsidR="00A927CD">
        <w:rPr>
          <w:b/>
          <w:bCs/>
          <w:noProof/>
        </w:rPr>
        <w:t>8</w:t>
      </w:r>
      <w:r w:rsidRPr="00901DA4">
        <w:rPr>
          <w:b/>
          <w:bCs/>
        </w:rPr>
        <w:fldChar w:fldCharType="end"/>
      </w:r>
      <w:r w:rsidRPr="00901DA4">
        <w:rPr>
          <w:b/>
          <w:bCs/>
        </w:rPr>
        <w:t>.</w:t>
      </w:r>
      <w:r w:rsidRPr="00901DA4">
        <w:t xml:space="preserve"> Useful Life</w:t>
      </w:r>
      <w:r w:rsidR="008705E4" w:rsidRPr="00901DA4">
        <w:t xml:space="preserve"> Monetized Benefits</w:t>
      </w:r>
    </w:p>
    <w:tbl>
      <w:tblPr>
        <w:tblStyle w:val="TGCCenterAlignment"/>
        <w:tblW w:w="9355" w:type="dxa"/>
        <w:tblInd w:w="-5" w:type="dxa"/>
        <w:tblLook w:val="04A0" w:firstRow="1" w:lastRow="0" w:firstColumn="1" w:lastColumn="0" w:noHBand="0" w:noVBand="1"/>
      </w:tblPr>
      <w:tblGrid>
        <w:gridCol w:w="5760"/>
        <w:gridCol w:w="1625"/>
        <w:gridCol w:w="1970"/>
      </w:tblGrid>
      <w:tr w:rsidR="00B12E2C" w:rsidRPr="00901DA4" w14:paraId="4E470880" w14:textId="77777777" w:rsidTr="0007399B">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7B0B207" w14:textId="58346575" w:rsidR="00B12E2C" w:rsidRPr="00901DA4" w:rsidRDefault="00B12E2C">
            <w:pPr>
              <w:pStyle w:val="ListParagraph"/>
              <w:ind w:left="0"/>
              <w:rPr>
                <w:b w:val="0"/>
                <w:bCs w:val="0"/>
              </w:rPr>
            </w:pPr>
            <w:r w:rsidRPr="00901DA4">
              <w:t>Useful Life Calculation</w:t>
            </w:r>
          </w:p>
        </w:tc>
        <w:tc>
          <w:tcPr>
            <w:tcW w:w="1625" w:type="dxa"/>
          </w:tcPr>
          <w:p w14:paraId="75D888D1" w14:textId="7837B58E" w:rsidR="00B12E2C" w:rsidRPr="00901DA4" w:rsidRDefault="00B12E2C">
            <w:pPr>
              <w:pStyle w:val="ListParagraph"/>
              <w:ind w:left="0"/>
              <w:cnfStyle w:val="100000000000" w:firstRow="1" w:lastRow="0" w:firstColumn="0" w:lastColumn="0" w:oddVBand="0" w:evenVBand="0" w:oddHBand="0" w:evenHBand="0" w:firstRowFirstColumn="0" w:firstRowLastColumn="0" w:lastRowFirstColumn="0" w:lastRowLastColumn="0"/>
            </w:pPr>
            <w:r w:rsidRPr="00901DA4">
              <w:t>No Build</w:t>
            </w:r>
          </w:p>
        </w:tc>
        <w:tc>
          <w:tcPr>
            <w:tcW w:w="1970" w:type="dxa"/>
          </w:tcPr>
          <w:p w14:paraId="60AAA044" w14:textId="14F77F3A" w:rsidR="00B12E2C" w:rsidRPr="00901DA4" w:rsidRDefault="00B12E2C">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901DA4">
              <w:t>Build</w:t>
            </w:r>
          </w:p>
        </w:tc>
      </w:tr>
      <w:tr w:rsidR="00901DA4" w:rsidRPr="00901DA4" w14:paraId="60228F32"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161DF6F0" w14:textId="1B68DBB8" w:rsidR="00901DA4" w:rsidRPr="00901DA4" w:rsidRDefault="00901DA4" w:rsidP="00901DA4">
            <w:pPr>
              <w:pStyle w:val="ListParagraph"/>
              <w:ind w:left="0"/>
              <w:rPr>
                <w:b/>
                <w:bCs w:val="0"/>
              </w:rPr>
            </w:pPr>
            <w:r w:rsidRPr="00901DA4">
              <w:t>Construction Cost</w:t>
            </w:r>
          </w:p>
        </w:tc>
        <w:tc>
          <w:tcPr>
            <w:tcW w:w="1625" w:type="dxa"/>
            <w:tcBorders>
              <w:bottom w:val="single" w:sz="4" w:space="0" w:color="5B9BD5" w:themeColor="accent4"/>
            </w:tcBorders>
          </w:tcPr>
          <w:p w14:paraId="2B190329" w14:textId="525BB688" w:rsidR="00901DA4" w:rsidRPr="00901DA4" w:rsidRDefault="00D84A14" w:rsidP="00901DA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N/A</w:t>
            </w:r>
          </w:p>
        </w:tc>
        <w:tc>
          <w:tcPr>
            <w:tcW w:w="1970" w:type="dxa"/>
            <w:tcBorders>
              <w:bottom w:val="single" w:sz="4" w:space="0" w:color="5B9BD5" w:themeColor="accent4"/>
            </w:tcBorders>
          </w:tcPr>
          <w:p w14:paraId="1696FFE6" w14:textId="1DF6ACC7" w:rsidR="00901DA4" w:rsidRPr="00901DA4" w:rsidRDefault="00901DA4" w:rsidP="00901DA4">
            <w:pPr>
              <w:pStyle w:val="ListParagraph"/>
              <w:ind w:left="0"/>
              <w:cnfStyle w:val="000000100000" w:firstRow="0" w:lastRow="0" w:firstColumn="0" w:lastColumn="0" w:oddVBand="0" w:evenVBand="0" w:oddHBand="1" w:evenHBand="0" w:firstRowFirstColumn="0" w:firstRowLastColumn="0" w:lastRowFirstColumn="0" w:lastRowLastColumn="0"/>
            </w:pPr>
            <w:r w:rsidRPr="00901DA4">
              <w:rPr>
                <w:rFonts w:ascii="Calibri" w:hAnsi="Calibri" w:cs="Calibri"/>
              </w:rPr>
              <w:t xml:space="preserve">$25,554,000 </w:t>
            </w:r>
          </w:p>
        </w:tc>
      </w:tr>
      <w:tr w:rsidR="00901DA4" w:rsidRPr="00901DA4" w14:paraId="1A0EA48F"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double" w:sz="4" w:space="0" w:color="5B9BD5" w:themeColor="accent4"/>
            </w:tcBorders>
          </w:tcPr>
          <w:p w14:paraId="3520FBF9" w14:textId="644D0E6B" w:rsidR="00901DA4" w:rsidRPr="00901DA4" w:rsidRDefault="00901DA4" w:rsidP="00901DA4">
            <w:pPr>
              <w:pStyle w:val="ListParagraph"/>
              <w:ind w:left="0"/>
            </w:pPr>
            <w:r w:rsidRPr="00901DA4">
              <w:t xml:space="preserve">(x) Remaining Life at End of Planning Horizon </w:t>
            </w:r>
          </w:p>
        </w:tc>
        <w:tc>
          <w:tcPr>
            <w:tcW w:w="1625" w:type="dxa"/>
            <w:tcBorders>
              <w:bottom w:val="double" w:sz="4" w:space="0" w:color="5B9BD5" w:themeColor="accent4"/>
            </w:tcBorders>
          </w:tcPr>
          <w:p w14:paraId="6A85060F" w14:textId="5A3BC8AD" w:rsidR="00901DA4" w:rsidRPr="00901DA4" w:rsidRDefault="00901DA4" w:rsidP="00901DA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01DA4">
              <w:rPr>
                <w:rFonts w:ascii="Calibri" w:hAnsi="Calibri" w:cs="Calibri"/>
                <w:color w:val="000000"/>
              </w:rPr>
              <w:t> </w:t>
            </w:r>
            <w:r w:rsidR="00D84A14">
              <w:rPr>
                <w:rFonts w:ascii="Calibri" w:hAnsi="Calibri" w:cs="Calibri"/>
                <w:color w:val="000000"/>
              </w:rPr>
              <w:t>N/A</w:t>
            </w:r>
          </w:p>
        </w:tc>
        <w:tc>
          <w:tcPr>
            <w:tcW w:w="1970" w:type="dxa"/>
            <w:tcBorders>
              <w:bottom w:val="double" w:sz="4" w:space="0" w:color="5B9BD5" w:themeColor="accent4"/>
            </w:tcBorders>
          </w:tcPr>
          <w:p w14:paraId="4D6F4584" w14:textId="344DAE56" w:rsidR="00901DA4" w:rsidRPr="00901DA4" w:rsidRDefault="00901DA4" w:rsidP="00901DA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901DA4">
              <w:rPr>
                <w:rFonts w:ascii="Calibri" w:hAnsi="Calibri" w:cs="Calibri"/>
                <w:color w:val="000000"/>
              </w:rPr>
              <w:t>60%</w:t>
            </w:r>
          </w:p>
        </w:tc>
      </w:tr>
      <w:tr w:rsidR="00901DA4" w:rsidRPr="00901DA4" w14:paraId="1DC01BE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4091298" w14:textId="07A59CC3" w:rsidR="00901DA4" w:rsidRPr="00901DA4" w:rsidRDefault="00901DA4" w:rsidP="00901DA4">
            <w:pPr>
              <w:pStyle w:val="ListParagraph"/>
              <w:ind w:left="0"/>
              <w:rPr>
                <w:i/>
                <w:iCs/>
              </w:rPr>
            </w:pPr>
            <w:r w:rsidRPr="00901DA4">
              <w:rPr>
                <w:i/>
                <w:iCs/>
              </w:rPr>
              <w:t xml:space="preserve">Total in Real $ </w:t>
            </w:r>
          </w:p>
        </w:tc>
        <w:tc>
          <w:tcPr>
            <w:tcW w:w="1625" w:type="dxa"/>
            <w:tcBorders>
              <w:top w:val="double" w:sz="4" w:space="0" w:color="5B9BD5" w:themeColor="accent4"/>
              <w:bottom w:val="double" w:sz="4" w:space="0" w:color="5B9BD5" w:themeColor="accent4"/>
            </w:tcBorders>
          </w:tcPr>
          <w:p w14:paraId="05A464BC" w14:textId="5058F7A8" w:rsidR="00901DA4" w:rsidRPr="00901DA4" w:rsidRDefault="00901DA4" w:rsidP="00901DA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901DA4">
              <w:rPr>
                <w:rFonts w:ascii="Calibri" w:hAnsi="Calibri" w:cs="Calibri"/>
                <w:i/>
                <w:iCs/>
                <w:color w:val="000000"/>
              </w:rPr>
              <w:t> </w:t>
            </w:r>
            <w:r w:rsidR="00D84A14">
              <w:rPr>
                <w:rFonts w:ascii="Calibri" w:hAnsi="Calibri" w:cs="Calibri"/>
                <w:i/>
                <w:iCs/>
                <w:color w:val="000000"/>
              </w:rPr>
              <w:t>N/A</w:t>
            </w:r>
          </w:p>
        </w:tc>
        <w:tc>
          <w:tcPr>
            <w:tcW w:w="1970" w:type="dxa"/>
            <w:tcBorders>
              <w:top w:val="double" w:sz="4" w:space="0" w:color="5B9BD5" w:themeColor="accent4"/>
              <w:bottom w:val="double" w:sz="4" w:space="0" w:color="5B9BD5" w:themeColor="accent4"/>
            </w:tcBorders>
          </w:tcPr>
          <w:p w14:paraId="5B1B315A" w14:textId="2AACCEAE" w:rsidR="00901DA4" w:rsidRPr="00901DA4" w:rsidRDefault="00901DA4" w:rsidP="00901DA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901DA4">
              <w:rPr>
                <w:rFonts w:ascii="Calibri" w:hAnsi="Calibri" w:cs="Calibri"/>
                <w:i/>
                <w:iCs/>
                <w:color w:val="000000"/>
              </w:rPr>
              <w:t xml:space="preserve">$25,554,447 </w:t>
            </w:r>
          </w:p>
        </w:tc>
      </w:tr>
      <w:tr w:rsidR="00901DA4" w:rsidRPr="00901DA4" w14:paraId="53E3FD78" w14:textId="77777777" w:rsidTr="008F566A">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triple" w:sz="4" w:space="0" w:color="5B9BD5" w:themeColor="accent4"/>
            </w:tcBorders>
            <w:shd w:val="clear" w:color="auto" w:fill="E7E6E6" w:themeFill="background2"/>
          </w:tcPr>
          <w:p w14:paraId="3A404D68" w14:textId="70A34CDA" w:rsidR="00901DA4" w:rsidRPr="00901DA4" w:rsidRDefault="00901DA4" w:rsidP="00901DA4">
            <w:pPr>
              <w:rPr>
                <w:rFonts w:ascii="Calibri" w:hAnsi="Calibri" w:cs="Calibri"/>
                <w:b/>
              </w:rPr>
            </w:pPr>
            <w:r w:rsidRPr="00901DA4">
              <w:rPr>
                <w:rFonts w:ascii="Calibri" w:hAnsi="Calibri" w:cs="Calibri"/>
                <w:b/>
              </w:rPr>
              <w:t xml:space="preserve">Total Monetized Benefit </w:t>
            </w:r>
            <w:r w:rsidRPr="00901DA4">
              <w:rPr>
                <w:rFonts w:ascii="Calibri" w:hAnsi="Calibri" w:cs="Calibri"/>
                <w:b/>
                <w:bCs w:val="0"/>
              </w:rPr>
              <w:t xml:space="preserve">Real $ </w:t>
            </w:r>
          </w:p>
        </w:tc>
        <w:tc>
          <w:tcPr>
            <w:tcW w:w="3595" w:type="dxa"/>
            <w:gridSpan w:val="2"/>
            <w:tcBorders>
              <w:top w:val="double" w:sz="4" w:space="0" w:color="5B9BD5" w:themeColor="accent4"/>
              <w:bottom w:val="triple" w:sz="4" w:space="0" w:color="5B9BD5" w:themeColor="accent4"/>
            </w:tcBorders>
            <w:shd w:val="clear" w:color="auto" w:fill="E7E6E6" w:themeFill="background2"/>
          </w:tcPr>
          <w:p w14:paraId="4FE65F54" w14:textId="07D4228E" w:rsidR="00901DA4" w:rsidRPr="00901DA4" w:rsidRDefault="00901DA4" w:rsidP="00901DA4">
            <w:pPr>
              <w:cnfStyle w:val="000000010000" w:firstRow="0" w:lastRow="0" w:firstColumn="0" w:lastColumn="0" w:oddVBand="0" w:evenVBand="0" w:oddHBand="0" w:evenHBand="1" w:firstRowFirstColumn="0" w:firstRowLastColumn="0" w:lastRowFirstColumn="0" w:lastRowLastColumn="0"/>
              <w:rPr>
                <w:rFonts w:ascii="Calibri" w:hAnsi="Calibri" w:cs="Calibri"/>
                <w:b/>
                <w:color w:val="000000"/>
              </w:rPr>
            </w:pPr>
            <w:r w:rsidRPr="00901DA4">
              <w:rPr>
                <w:rFonts w:ascii="Calibri" w:hAnsi="Calibri" w:cs="Calibri"/>
                <w:b/>
                <w:bCs/>
                <w:color w:val="000000"/>
              </w:rPr>
              <w:t xml:space="preserve">$25,554,000 </w:t>
            </w:r>
          </w:p>
        </w:tc>
      </w:tr>
      <w:tr w:rsidR="00901DA4" w:rsidRPr="007356E6" w14:paraId="68A3E704" w14:textId="77777777" w:rsidTr="008F566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28303BE" w14:textId="43C84839" w:rsidR="00901DA4" w:rsidRPr="00901DA4" w:rsidRDefault="00901DA4" w:rsidP="00901DA4">
            <w:pPr>
              <w:rPr>
                <w:rFonts w:ascii="Calibri" w:hAnsi="Calibri" w:cs="Calibri"/>
                <w:b/>
              </w:rPr>
            </w:pPr>
            <w:r w:rsidRPr="00901DA4">
              <w:rPr>
                <w:rFonts w:ascii="Calibri" w:hAnsi="Calibri" w:cs="Calibri"/>
                <w:b/>
              </w:rPr>
              <w:t xml:space="preserve">Total Monetized Benefit </w:t>
            </w:r>
            <w:r w:rsidRPr="00901DA4">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5A2C180F" w14:textId="2091ACA9" w:rsidR="00901DA4" w:rsidRPr="00901DA4" w:rsidRDefault="00901DA4" w:rsidP="00901DA4">
            <w:pP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rPr>
            </w:pPr>
            <w:r w:rsidRPr="00901DA4">
              <w:rPr>
                <w:rFonts w:ascii="Calibri" w:hAnsi="Calibri" w:cs="Calibri"/>
                <w:b/>
                <w:bCs/>
                <w:color w:val="000000"/>
              </w:rPr>
              <w:t xml:space="preserve">$11,912,000 </w:t>
            </w:r>
          </w:p>
        </w:tc>
      </w:tr>
    </w:tbl>
    <w:p w14:paraId="698D8446" w14:textId="77777777" w:rsidR="006453C4" w:rsidRPr="003D6DAE" w:rsidRDefault="006453C4" w:rsidP="003D6DAE"/>
    <w:p w14:paraId="3457758B" w14:textId="1AE5FFE4" w:rsidR="00F72B55" w:rsidRPr="003D6DAE" w:rsidRDefault="00F72B55" w:rsidP="003D6DAE">
      <w:pPr>
        <w:pStyle w:val="Heading4"/>
      </w:pPr>
      <w:r w:rsidRPr="003D6DAE">
        <w:t xml:space="preserve">Benefit </w:t>
      </w:r>
      <w:r w:rsidR="003D6DAE">
        <w:t>2</w:t>
      </w:r>
      <w:r w:rsidRPr="003D6DAE">
        <w:t>: State of Good Repair</w:t>
      </w:r>
    </w:p>
    <w:p w14:paraId="0E579408" w14:textId="77777777" w:rsidR="00B12E2C" w:rsidRDefault="00B12E2C" w:rsidP="00B12E2C">
      <w:r>
        <w:t xml:space="preserve">Maintenance and user costs associated with the condition of a roadway’s surface are significant factors in the decision to continue with the current pavement or to replace it. The capital expenditure required for a reconstruction project may make economic sense if it saves money over the planning horizon. Demonstrating a roadway’s current surface condition, or state of good repair (SOGR), and projecting the costs and benefits for alternative maintenance strategies will provide the information needed to make this decision. </w:t>
      </w:r>
    </w:p>
    <w:p w14:paraId="02C91C0D" w14:textId="77777777" w:rsidR="003D6DAE" w:rsidRDefault="003D6DAE" w:rsidP="00D75AAF">
      <w:pPr>
        <w:pStyle w:val="Caption"/>
        <w:spacing w:after="0"/>
        <w:rPr>
          <w:b/>
          <w:bCs/>
        </w:rPr>
      </w:pPr>
    </w:p>
    <w:p w14:paraId="786E7351" w14:textId="5AFB5A1B" w:rsidR="00D75AAF" w:rsidRDefault="00D75AAF" w:rsidP="00D75AAF">
      <w:pPr>
        <w:pStyle w:val="Caption"/>
        <w:spacing w:after="0"/>
      </w:pPr>
      <w:r w:rsidRPr="00862E52">
        <w:rPr>
          <w:b/>
          <w:bCs/>
        </w:rPr>
        <w:t xml:space="preserve">Table </w:t>
      </w:r>
      <w:r w:rsidRPr="00862E52">
        <w:rPr>
          <w:b/>
          <w:bCs/>
        </w:rPr>
        <w:fldChar w:fldCharType="begin"/>
      </w:r>
      <w:r w:rsidRPr="00862E52">
        <w:rPr>
          <w:b/>
          <w:bCs/>
        </w:rPr>
        <w:instrText xml:space="preserve"> SEQ Table \* ARABIC </w:instrText>
      </w:r>
      <w:r w:rsidRPr="00862E52">
        <w:rPr>
          <w:b/>
          <w:bCs/>
        </w:rPr>
        <w:fldChar w:fldCharType="separate"/>
      </w:r>
      <w:r w:rsidR="00A927CD">
        <w:rPr>
          <w:b/>
          <w:bCs/>
          <w:noProof/>
        </w:rPr>
        <w:t>9</w:t>
      </w:r>
      <w:r w:rsidRPr="00862E52">
        <w:rPr>
          <w:b/>
          <w:bCs/>
        </w:rPr>
        <w:fldChar w:fldCharType="end"/>
      </w:r>
      <w:r w:rsidRPr="00862E52">
        <w:rPr>
          <w:b/>
          <w:bCs/>
        </w:rPr>
        <w:t>.</w:t>
      </w:r>
      <w:r w:rsidRPr="00862E52">
        <w:t xml:space="preserve"> </w:t>
      </w:r>
      <w:r w:rsidR="00B12E2C" w:rsidRPr="00862E52">
        <w:t>State of Good Repair</w:t>
      </w:r>
      <w:r w:rsidR="008705E4" w:rsidRPr="00862E52">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5F6480" w14:paraId="343ECE52" w14:textId="77777777" w:rsidTr="0007399B">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1A4E3A5E" w14:textId="65587596" w:rsidR="005F6480" w:rsidRDefault="00896622">
            <w:pPr>
              <w:pStyle w:val="ListParagraph"/>
              <w:ind w:left="0"/>
              <w:rPr>
                <w:b w:val="0"/>
                <w:bCs w:val="0"/>
              </w:rPr>
            </w:pPr>
            <w:r>
              <w:t>State of Good Repair</w:t>
            </w:r>
            <w:r w:rsidR="005F6480">
              <w:t xml:space="preserve"> Calculation</w:t>
            </w:r>
          </w:p>
        </w:tc>
        <w:tc>
          <w:tcPr>
            <w:tcW w:w="1710" w:type="dxa"/>
          </w:tcPr>
          <w:p w14:paraId="4621EB82" w14:textId="77777777" w:rsidR="005F6480" w:rsidRDefault="005F6480">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1E54BF62" w14:textId="77777777" w:rsidR="005F6480" w:rsidRDefault="005F6480">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4D0182" w14:paraId="69926F1B"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6EE1C309" w14:textId="0C51858D" w:rsidR="004D0182" w:rsidRDefault="004D0182" w:rsidP="004D0182">
            <w:pPr>
              <w:pStyle w:val="ListParagraph"/>
              <w:ind w:left="0"/>
            </w:pPr>
            <w:r w:rsidRPr="00CE4323">
              <w:rPr>
                <w:rFonts w:ascii="Calibri" w:hAnsi="Calibri" w:cs="Calibri"/>
                <w:color w:val="000000"/>
              </w:rPr>
              <w:t>On-Going Maintenance Cost</w:t>
            </w:r>
          </w:p>
        </w:tc>
        <w:tc>
          <w:tcPr>
            <w:tcW w:w="1710" w:type="dxa"/>
            <w:tcBorders>
              <w:bottom w:val="single" w:sz="4" w:space="0" w:color="5B9BD5" w:themeColor="accent4"/>
            </w:tcBorders>
          </w:tcPr>
          <w:p w14:paraId="660410B3" w14:textId="3612A1CD"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$1,138,000 </w:t>
            </w:r>
          </w:p>
        </w:tc>
        <w:tc>
          <w:tcPr>
            <w:tcW w:w="1885" w:type="dxa"/>
            <w:tcBorders>
              <w:bottom w:val="single" w:sz="4" w:space="0" w:color="5B9BD5" w:themeColor="accent4"/>
            </w:tcBorders>
          </w:tcPr>
          <w:p w14:paraId="45019A8A" w14:textId="436FE041"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$172,000 </w:t>
            </w:r>
          </w:p>
        </w:tc>
      </w:tr>
      <w:tr w:rsidR="004D0182" w14:paraId="64B7105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2C066957" w14:textId="2E7D1D4F" w:rsidR="004D0182" w:rsidRDefault="004D0182" w:rsidP="004D0182">
            <w:pPr>
              <w:pStyle w:val="ListParagraph"/>
              <w:ind w:left="0"/>
            </w:pPr>
            <w:r w:rsidRPr="00CE4323">
              <w:rPr>
                <w:rFonts w:ascii="Calibri" w:hAnsi="Calibri" w:cs="Calibri"/>
                <w:color w:val="000000"/>
              </w:rPr>
              <w:t>Rehab Cost</w:t>
            </w:r>
          </w:p>
        </w:tc>
        <w:tc>
          <w:tcPr>
            <w:tcW w:w="1710" w:type="dxa"/>
            <w:tcBorders>
              <w:bottom w:val="single" w:sz="4" w:space="0" w:color="5B9BD5" w:themeColor="accent4"/>
            </w:tcBorders>
          </w:tcPr>
          <w:p w14:paraId="0D03EA54" w14:textId="79E8184E"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$12,192,000 </w:t>
            </w:r>
          </w:p>
        </w:tc>
        <w:tc>
          <w:tcPr>
            <w:tcW w:w="1885" w:type="dxa"/>
            <w:tcBorders>
              <w:bottom w:val="single" w:sz="4" w:space="0" w:color="5B9BD5" w:themeColor="accent4"/>
            </w:tcBorders>
          </w:tcPr>
          <w:p w14:paraId="6A414313" w14:textId="17E1343A"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$0 </w:t>
            </w:r>
          </w:p>
        </w:tc>
      </w:tr>
      <w:tr w:rsidR="004D0182" w14:paraId="2CB8BD4A"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5DFA8450" w14:textId="10DA2430" w:rsidR="004D0182" w:rsidRDefault="004D0182" w:rsidP="004D0182">
            <w:pPr>
              <w:pStyle w:val="ListParagraph"/>
              <w:ind w:left="0"/>
            </w:pPr>
            <w:r w:rsidRPr="00CE4323">
              <w:rPr>
                <w:rFonts w:ascii="Calibri" w:hAnsi="Calibri" w:cs="Calibri"/>
                <w:color w:val="000000"/>
              </w:rPr>
              <w:t>Residual Life of Rehab</w:t>
            </w:r>
          </w:p>
        </w:tc>
        <w:tc>
          <w:tcPr>
            <w:tcW w:w="1710" w:type="dxa"/>
            <w:tcBorders>
              <w:bottom w:val="single" w:sz="4" w:space="0" w:color="5B9BD5" w:themeColor="accent4"/>
            </w:tcBorders>
          </w:tcPr>
          <w:p w14:paraId="6EB2DF6E" w14:textId="6D0C1F01"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FF0000"/>
              </w:rPr>
              <w:t>($3,479,000)</w:t>
            </w:r>
          </w:p>
        </w:tc>
        <w:tc>
          <w:tcPr>
            <w:tcW w:w="1885" w:type="dxa"/>
            <w:tcBorders>
              <w:bottom w:val="single" w:sz="4" w:space="0" w:color="5B9BD5" w:themeColor="accent4"/>
            </w:tcBorders>
          </w:tcPr>
          <w:p w14:paraId="5F326E27" w14:textId="132BA5EA"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$0 </w:t>
            </w:r>
          </w:p>
        </w:tc>
      </w:tr>
      <w:tr w:rsidR="004D0182" w14:paraId="1283157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1BD49E2" w14:textId="1BAAF9AA" w:rsidR="004D0182" w:rsidRDefault="004D0182" w:rsidP="004D0182">
            <w:pPr>
              <w:pStyle w:val="ListParagraph"/>
              <w:ind w:left="0"/>
            </w:pPr>
            <w:r w:rsidRPr="00CE4323">
              <w:rPr>
                <w:rFonts w:ascii="Calibri" w:hAnsi="Calibri" w:cs="Calibri"/>
                <w:color w:val="000000"/>
              </w:rPr>
              <w:t>User Costs (Value of Travel Time)</w:t>
            </w:r>
          </w:p>
        </w:tc>
        <w:tc>
          <w:tcPr>
            <w:tcW w:w="1710" w:type="dxa"/>
            <w:tcBorders>
              <w:bottom w:val="single" w:sz="4" w:space="0" w:color="5B9BD5" w:themeColor="accent4"/>
            </w:tcBorders>
          </w:tcPr>
          <w:p w14:paraId="45C82C3B" w14:textId="740BC331"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$12,556,000 </w:t>
            </w:r>
          </w:p>
        </w:tc>
        <w:tc>
          <w:tcPr>
            <w:tcW w:w="1885" w:type="dxa"/>
            <w:tcBorders>
              <w:bottom w:val="single" w:sz="4" w:space="0" w:color="5B9BD5" w:themeColor="accent4"/>
            </w:tcBorders>
          </w:tcPr>
          <w:p w14:paraId="2B55B810" w14:textId="3B449E1F" w:rsidR="004D0182" w:rsidRPr="00B81101"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rPr>
              <w:t xml:space="preserve">$7,384,000 </w:t>
            </w:r>
          </w:p>
        </w:tc>
      </w:tr>
      <w:tr w:rsidR="004D0182" w14:paraId="0EE29B9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687DF0B6" w14:textId="602CE181" w:rsidR="004D0182" w:rsidRDefault="004D0182" w:rsidP="004D0182">
            <w:pPr>
              <w:pStyle w:val="ListParagraph"/>
              <w:ind w:left="0"/>
              <w:rPr>
                <w:b/>
                <w:bCs w:val="0"/>
              </w:rPr>
            </w:pPr>
            <w:r w:rsidRPr="003D690E">
              <w:rPr>
                <w:rFonts w:ascii="Calibri" w:hAnsi="Calibri" w:cs="Calibri"/>
                <w:color w:val="000000"/>
              </w:rPr>
              <w:t>Vehicle Wear and Tear</w:t>
            </w:r>
          </w:p>
        </w:tc>
        <w:tc>
          <w:tcPr>
            <w:tcW w:w="1710" w:type="dxa"/>
            <w:tcBorders>
              <w:bottom w:val="single" w:sz="4" w:space="0" w:color="5B9BD5" w:themeColor="accent4"/>
            </w:tcBorders>
          </w:tcPr>
          <w:p w14:paraId="4288568D" w14:textId="19764588"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rPr>
              <w:t xml:space="preserve">$2,903,000 </w:t>
            </w:r>
          </w:p>
        </w:tc>
        <w:tc>
          <w:tcPr>
            <w:tcW w:w="1885" w:type="dxa"/>
            <w:tcBorders>
              <w:bottom w:val="single" w:sz="4" w:space="0" w:color="5B9BD5" w:themeColor="accent4"/>
            </w:tcBorders>
          </w:tcPr>
          <w:p w14:paraId="036D304D" w14:textId="2CBDF552" w:rsidR="004D0182" w:rsidRPr="00B81101" w:rsidRDefault="004D0182" w:rsidP="004D0182">
            <w:pPr>
              <w:pStyle w:val="ListParagraph"/>
              <w:ind w:left="0"/>
              <w:cnfStyle w:val="000000100000" w:firstRow="0" w:lastRow="0" w:firstColumn="0" w:lastColumn="0" w:oddVBand="0" w:evenVBand="0" w:oddHBand="1" w:evenHBand="0" w:firstRowFirstColumn="0" w:firstRowLastColumn="0" w:lastRowFirstColumn="0" w:lastRowLastColumn="0"/>
              <w:rPr>
                <w:highlight w:val="yellow"/>
              </w:rPr>
            </w:pPr>
            <w:r>
              <w:rPr>
                <w:rFonts w:ascii="Calibri" w:hAnsi="Calibri" w:cs="Calibri"/>
              </w:rPr>
              <w:t xml:space="preserve">$351,000 </w:t>
            </w:r>
          </w:p>
        </w:tc>
      </w:tr>
      <w:tr w:rsidR="004D0182" w14:paraId="148C4779"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64AEDFBB" w14:textId="7B364C9A" w:rsidR="004D0182" w:rsidRPr="005B2DD5" w:rsidRDefault="004D0182" w:rsidP="004D0182">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3CA0287" w14:textId="6105B6BE" w:rsidR="004D0182" w:rsidRPr="004131B7"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sidRPr="004131B7">
              <w:rPr>
                <w:rFonts w:ascii="Calibri" w:hAnsi="Calibri" w:cs="Calibri"/>
                <w:i/>
                <w:iCs/>
              </w:rPr>
              <w:t>$25,</w:t>
            </w:r>
            <w:r w:rsidR="00EC6F48" w:rsidRPr="004131B7">
              <w:rPr>
                <w:rFonts w:ascii="Calibri" w:hAnsi="Calibri" w:cs="Calibri"/>
                <w:i/>
                <w:iCs/>
              </w:rPr>
              <w:t>310,000</w:t>
            </w:r>
            <w:r w:rsidRPr="004131B7">
              <w:rPr>
                <w:rFonts w:ascii="Calibri" w:hAnsi="Calibri" w:cs="Calibri"/>
                <w:i/>
                <w:iCs/>
              </w:rPr>
              <w:t xml:space="preserve"> </w:t>
            </w:r>
          </w:p>
        </w:tc>
        <w:tc>
          <w:tcPr>
            <w:tcW w:w="1885" w:type="dxa"/>
            <w:tcBorders>
              <w:top w:val="double" w:sz="4" w:space="0" w:color="5B9BD5" w:themeColor="accent4"/>
              <w:bottom w:val="single" w:sz="4" w:space="0" w:color="5B9BD5" w:themeColor="accent4"/>
            </w:tcBorders>
          </w:tcPr>
          <w:p w14:paraId="17CFA8D2" w14:textId="5B015135" w:rsidR="004D0182" w:rsidRPr="004131B7" w:rsidRDefault="004D0182" w:rsidP="004D018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i/>
                <w:iCs/>
                <w:color w:val="000000"/>
                <w:highlight w:val="yellow"/>
              </w:rPr>
            </w:pPr>
            <w:r w:rsidRPr="004131B7">
              <w:rPr>
                <w:rFonts w:ascii="Calibri" w:hAnsi="Calibri" w:cs="Calibri"/>
                <w:i/>
                <w:iCs/>
              </w:rPr>
              <w:t>$7,</w:t>
            </w:r>
            <w:r w:rsidR="004131B7" w:rsidRPr="004131B7">
              <w:rPr>
                <w:rFonts w:ascii="Calibri" w:hAnsi="Calibri" w:cs="Calibri"/>
                <w:i/>
                <w:iCs/>
              </w:rPr>
              <w:t>907,000</w:t>
            </w:r>
            <w:r w:rsidRPr="004131B7">
              <w:rPr>
                <w:rFonts w:ascii="Calibri" w:hAnsi="Calibri" w:cs="Calibri"/>
                <w:i/>
                <w:iCs/>
              </w:rPr>
              <w:t xml:space="preserve"> </w:t>
            </w:r>
          </w:p>
        </w:tc>
      </w:tr>
      <w:tr w:rsidR="00862E52" w:rsidRPr="007356E6" w14:paraId="103B2E89" w14:textId="77777777" w:rsidTr="008F566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470AF72F" w14:textId="75878473" w:rsidR="00862E52" w:rsidRDefault="00862E52" w:rsidP="00862E52">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0AB9AD54" w14:textId="0EF617D3" w:rsidR="00862E52" w:rsidRPr="004131B7" w:rsidRDefault="00862E52" w:rsidP="00862E52">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sidRPr="004131B7">
              <w:rPr>
                <w:rFonts w:ascii="Calibri" w:hAnsi="Calibri" w:cs="Calibri"/>
                <w:b/>
                <w:bCs/>
              </w:rPr>
              <w:t xml:space="preserve">$17,402,000 </w:t>
            </w:r>
          </w:p>
        </w:tc>
      </w:tr>
      <w:tr w:rsidR="00862E52" w:rsidRPr="007356E6" w14:paraId="034DC3C3" w14:textId="77777777" w:rsidTr="008F566A">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649EB5DC" w14:textId="6AF1367F" w:rsidR="00862E52" w:rsidRPr="007356E6" w:rsidRDefault="00862E52" w:rsidP="00862E52">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37B3AF02" w14:textId="281FBEEB" w:rsidR="00862E52" w:rsidRPr="004131B7" w:rsidRDefault="00862E52" w:rsidP="00862E52">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sidRPr="004131B7">
              <w:rPr>
                <w:rFonts w:ascii="Calibri" w:hAnsi="Calibri" w:cs="Calibri"/>
                <w:b/>
                <w:bCs/>
              </w:rPr>
              <w:t xml:space="preserve">$10,008,000 </w:t>
            </w:r>
          </w:p>
        </w:tc>
      </w:tr>
    </w:tbl>
    <w:p w14:paraId="194229E7" w14:textId="77777777" w:rsidR="005F6480" w:rsidRDefault="005F6480" w:rsidP="00B12E2C"/>
    <w:p w14:paraId="3EFA74CE" w14:textId="77777777" w:rsidR="00D71D24" w:rsidRDefault="00D71D24" w:rsidP="006453C4">
      <w:pPr>
        <w:sectPr w:rsidR="00D71D24" w:rsidSect="00906726">
          <w:footerReference w:type="first" r:id="rId16"/>
          <w:pgSz w:w="12240" w:h="15840"/>
          <w:pgMar w:top="1440" w:right="1440" w:bottom="1440" w:left="1440" w:header="0" w:footer="576" w:gutter="0"/>
          <w:cols w:space="720"/>
          <w:docGrid w:linePitch="360"/>
        </w:sectPr>
      </w:pPr>
    </w:p>
    <w:p w14:paraId="275F0CBF" w14:textId="6F6E9356" w:rsidR="00F72B55" w:rsidRPr="006453C4" w:rsidRDefault="00F72B55" w:rsidP="003D6DAE">
      <w:pPr>
        <w:pStyle w:val="Heading4"/>
      </w:pPr>
      <w:r w:rsidRPr="006453C4">
        <w:lastRenderedPageBreak/>
        <w:t xml:space="preserve">Benefit </w:t>
      </w:r>
      <w:r w:rsidR="003D6DAE">
        <w:t>3</w:t>
      </w:r>
      <w:r w:rsidRPr="006453C4">
        <w:t>: Safety Improvements</w:t>
      </w:r>
    </w:p>
    <w:p w14:paraId="0478CA71" w14:textId="1EA383D6" w:rsidR="00F72B55" w:rsidRDefault="00875344" w:rsidP="003D6DAE">
      <w:r>
        <w:t xml:space="preserve">The analysis uses the average number of crashes by type over the last 5 years (2018-2022) from TxDOT Crash Record Information System (CRIS) database. The appropriate reduction factor was given by TxDOT based on the 2022 TxDOT </w:t>
      </w:r>
      <w:r w:rsidRPr="00452AB4">
        <w:t xml:space="preserve">Highway Safety Improvement Program </w:t>
      </w:r>
      <w:r>
        <w:t>(HSIP) work codes, and the damages avoided are quantified</w:t>
      </w:r>
      <w:r w:rsidR="009D2ACA">
        <w:t xml:space="preserve"> using USDOT parameters by injury type</w:t>
      </w:r>
      <w:r>
        <w:t>.</w:t>
      </w:r>
      <w:r w:rsidRPr="006D16D0">
        <w:rPr>
          <w:vertAlign w:val="superscript"/>
        </w:rPr>
        <w:footnoteReference w:id="4"/>
      </w:r>
      <w:r w:rsidR="003B542B">
        <w:t xml:space="preserve"> A crash can only be assigned to one work code. If multiple work codes are applicable to one crash, the work code with the highest crash reduction rate will be assigned to that crash. For the Project, crashes</w:t>
      </w:r>
      <w:r w:rsidR="00E93F20">
        <w:t xml:space="preserve"> and corresponding injuries</w:t>
      </w:r>
      <w:r w:rsidR="00AF3A97">
        <w:t xml:space="preserve"> w</w:t>
      </w:r>
      <w:r w:rsidR="003B542B">
        <w:t xml:space="preserve">ere assigned to codes listed in </w:t>
      </w:r>
      <w:r w:rsidR="00487CE9">
        <w:t>table</w:t>
      </w:r>
      <w:r w:rsidR="00AF3A97">
        <w:t>s</w:t>
      </w:r>
      <w:r w:rsidR="003B542B">
        <w:t xml:space="preserve"> below. </w:t>
      </w:r>
    </w:p>
    <w:p w14:paraId="69BD3A60" w14:textId="77777777" w:rsidR="00F95152" w:rsidRDefault="00F95152" w:rsidP="003D6DAE"/>
    <w:p w14:paraId="0AC8F963" w14:textId="47C1F91B" w:rsidR="006F661D" w:rsidRPr="0024497F" w:rsidRDefault="006F661D" w:rsidP="006F661D">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10</w:t>
      </w:r>
      <w:r w:rsidRPr="0024497F">
        <w:rPr>
          <w:b/>
          <w:bCs/>
        </w:rPr>
        <w:fldChar w:fldCharType="end"/>
      </w:r>
      <w:r w:rsidRPr="0024497F">
        <w:rPr>
          <w:b/>
          <w:bCs/>
        </w:rPr>
        <w:t>.</w:t>
      </w:r>
      <w:r w:rsidRPr="0024497F">
        <w:t xml:space="preserve"> </w:t>
      </w:r>
      <w:r>
        <w:t>Roadway Related Crashes -</w:t>
      </w:r>
      <w:r w:rsidRPr="0024497F">
        <w:t xml:space="preserve"> Injury Data (5-Year Average)</w:t>
      </w:r>
    </w:p>
    <w:tbl>
      <w:tblPr>
        <w:tblStyle w:val="TGCCenterAlignment"/>
        <w:tblW w:w="12955" w:type="dxa"/>
        <w:tblLayout w:type="fixed"/>
        <w:tblLook w:val="04A0" w:firstRow="1" w:lastRow="0" w:firstColumn="1" w:lastColumn="0" w:noHBand="0" w:noVBand="1"/>
      </w:tblPr>
      <w:tblGrid>
        <w:gridCol w:w="1615"/>
        <w:gridCol w:w="1890"/>
        <w:gridCol w:w="1890"/>
        <w:gridCol w:w="1890"/>
        <w:gridCol w:w="1890"/>
        <w:gridCol w:w="1890"/>
        <w:gridCol w:w="1890"/>
      </w:tblGrid>
      <w:tr w:rsidR="006F661D" w:rsidRPr="0024497F" w14:paraId="41ED7681" w14:textId="77777777" w:rsidTr="00172BB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615" w:type="dxa"/>
            <w:vMerge w:val="restart"/>
          </w:tcPr>
          <w:p w14:paraId="5B13F7D9" w14:textId="77777777" w:rsidR="006F661D" w:rsidRPr="0024497F" w:rsidRDefault="006F661D" w:rsidP="00172BBD">
            <w:pPr>
              <w:pStyle w:val="ListParagraph"/>
              <w:ind w:left="0"/>
              <w:rPr>
                <w:rFonts w:ascii="Calibri" w:hAnsi="Calibri" w:cs="Calibri"/>
                <w:bCs w:val="0"/>
              </w:rPr>
            </w:pPr>
            <w:r w:rsidRPr="0024497F">
              <w:rPr>
                <w:rFonts w:ascii="Calibri" w:hAnsi="Calibri" w:cs="Calibri"/>
                <w:bCs w:val="0"/>
              </w:rPr>
              <w:t>Injury</w:t>
            </w:r>
          </w:p>
        </w:tc>
        <w:tc>
          <w:tcPr>
            <w:tcW w:w="11340" w:type="dxa"/>
            <w:gridSpan w:val="6"/>
          </w:tcPr>
          <w:p w14:paraId="28182919" w14:textId="77777777" w:rsidR="006F661D" w:rsidRDefault="006F661D" w:rsidP="00172BBD">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Auto</w:t>
            </w:r>
          </w:p>
        </w:tc>
      </w:tr>
      <w:tr w:rsidR="006F661D" w:rsidRPr="0024497F" w14:paraId="69FFBDB7"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vMerge/>
            <w:tcBorders>
              <w:bottom w:val="single" w:sz="4" w:space="0" w:color="5B9BD5"/>
            </w:tcBorders>
            <w:shd w:val="clear" w:color="auto" w:fill="002775" w:themeFill="accent1"/>
          </w:tcPr>
          <w:p w14:paraId="4DE80535" w14:textId="77777777" w:rsidR="006F661D" w:rsidRPr="0024497F" w:rsidRDefault="006F661D" w:rsidP="00172BBD">
            <w:pPr>
              <w:pStyle w:val="ListParagraph"/>
              <w:ind w:left="0"/>
              <w:rPr>
                <w:rFonts w:ascii="Calibri" w:hAnsi="Calibri" w:cs="Calibri"/>
                <w:b/>
                <w:color w:val="FFFFFF" w:themeColor="background1"/>
              </w:rPr>
            </w:pPr>
          </w:p>
        </w:tc>
        <w:tc>
          <w:tcPr>
            <w:tcW w:w="1890" w:type="dxa"/>
            <w:tcBorders>
              <w:bottom w:val="single" w:sz="4" w:space="0" w:color="5B9BD5"/>
            </w:tcBorders>
            <w:shd w:val="clear" w:color="auto" w:fill="002775" w:themeFill="accent1"/>
          </w:tcPr>
          <w:p w14:paraId="591CB3FE" w14:textId="77777777" w:rsidR="006F661D" w:rsidRPr="0024497F"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890" w:type="dxa"/>
            <w:tcBorders>
              <w:bottom w:val="single" w:sz="4" w:space="0" w:color="5B9BD5"/>
            </w:tcBorders>
            <w:shd w:val="clear" w:color="auto" w:fill="002775" w:themeFill="accent1"/>
          </w:tcPr>
          <w:p w14:paraId="3D320D23" w14:textId="77777777" w:rsidR="006F661D" w:rsidRPr="0024497F"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90" w:type="dxa"/>
            <w:tcBorders>
              <w:bottom w:val="single" w:sz="4" w:space="0" w:color="5B9BD5"/>
            </w:tcBorders>
            <w:shd w:val="clear" w:color="auto" w:fill="002775" w:themeFill="accent1"/>
          </w:tcPr>
          <w:p w14:paraId="442EC6D7" w14:textId="77777777" w:rsidR="006F661D" w:rsidRPr="0024497F"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90" w:type="dxa"/>
            <w:tcBorders>
              <w:bottom w:val="single" w:sz="4" w:space="0" w:color="5B9BD5"/>
            </w:tcBorders>
            <w:shd w:val="clear" w:color="auto" w:fill="002775" w:themeFill="accent1"/>
          </w:tcPr>
          <w:p w14:paraId="518EF8C0" w14:textId="77777777" w:rsidR="006F661D" w:rsidRPr="008007CE"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90" w:type="dxa"/>
            <w:tcBorders>
              <w:bottom w:val="single" w:sz="4" w:space="0" w:color="5B9BD5"/>
            </w:tcBorders>
            <w:shd w:val="clear" w:color="auto" w:fill="002775" w:themeFill="accent1"/>
          </w:tcPr>
          <w:p w14:paraId="74E9C500" w14:textId="77777777" w:rsidR="006F661D" w:rsidRPr="008007CE"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90" w:type="dxa"/>
            <w:tcBorders>
              <w:bottom w:val="single" w:sz="4" w:space="0" w:color="5B9BD5"/>
            </w:tcBorders>
            <w:shd w:val="clear" w:color="auto" w:fill="002775" w:themeFill="accent1"/>
          </w:tcPr>
          <w:p w14:paraId="47377661" w14:textId="77777777" w:rsidR="006F661D"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35C537F0" w14:textId="77777777" w:rsidR="006F661D" w:rsidRPr="008007CE" w:rsidRDefault="006F661D"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020F69" w:rsidRPr="0024497F" w14:paraId="0CD060D0"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Borders>
              <w:top w:val="single" w:sz="4" w:space="0" w:color="5B9BD5"/>
            </w:tcBorders>
          </w:tcPr>
          <w:p w14:paraId="131DF2EB" w14:textId="77777777" w:rsidR="00020F69" w:rsidRPr="0024497F" w:rsidRDefault="00020F69" w:rsidP="00020F69">
            <w:pPr>
              <w:pStyle w:val="ListParagraph"/>
              <w:ind w:left="0"/>
            </w:pPr>
            <w:r w:rsidRPr="0024497F">
              <w:rPr>
                <w:rFonts w:ascii="Calibri" w:hAnsi="Calibri" w:cs="Calibri"/>
              </w:rPr>
              <w:t>Non-Injury</w:t>
            </w:r>
          </w:p>
        </w:tc>
        <w:tc>
          <w:tcPr>
            <w:tcW w:w="1890" w:type="dxa"/>
            <w:tcBorders>
              <w:top w:val="single" w:sz="4" w:space="0" w:color="5B9BD5"/>
            </w:tcBorders>
            <w:vAlign w:val="bottom"/>
          </w:tcPr>
          <w:p w14:paraId="7EFCE840" w14:textId="35F5F33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228</w:t>
            </w:r>
          </w:p>
        </w:tc>
        <w:tc>
          <w:tcPr>
            <w:tcW w:w="1890" w:type="dxa"/>
            <w:tcBorders>
              <w:top w:val="single" w:sz="4" w:space="0" w:color="5B9BD5"/>
            </w:tcBorders>
            <w:vAlign w:val="bottom"/>
          </w:tcPr>
          <w:p w14:paraId="4766D902" w14:textId="70BD56A8"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191</w:t>
            </w:r>
          </w:p>
        </w:tc>
        <w:tc>
          <w:tcPr>
            <w:tcW w:w="1890" w:type="dxa"/>
            <w:tcBorders>
              <w:top w:val="single" w:sz="4" w:space="0" w:color="5B9BD5"/>
            </w:tcBorders>
            <w:vAlign w:val="bottom"/>
          </w:tcPr>
          <w:p w14:paraId="4FA00202" w14:textId="1AC5A32A"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194</w:t>
            </w:r>
          </w:p>
        </w:tc>
        <w:tc>
          <w:tcPr>
            <w:tcW w:w="1890" w:type="dxa"/>
            <w:tcBorders>
              <w:top w:val="single" w:sz="4" w:space="0" w:color="5B9BD5"/>
            </w:tcBorders>
            <w:vAlign w:val="bottom"/>
          </w:tcPr>
          <w:p w14:paraId="4879F03A" w14:textId="52662F81"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189</w:t>
            </w:r>
          </w:p>
        </w:tc>
        <w:tc>
          <w:tcPr>
            <w:tcW w:w="1890" w:type="dxa"/>
            <w:tcBorders>
              <w:top w:val="single" w:sz="4" w:space="0" w:color="5B9BD5"/>
            </w:tcBorders>
            <w:vAlign w:val="bottom"/>
          </w:tcPr>
          <w:p w14:paraId="0901B152" w14:textId="73D922AF"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216</w:t>
            </w:r>
          </w:p>
        </w:tc>
        <w:tc>
          <w:tcPr>
            <w:tcW w:w="1890" w:type="dxa"/>
            <w:tcBorders>
              <w:top w:val="single" w:sz="4" w:space="0" w:color="5B9BD5"/>
            </w:tcBorders>
            <w:vAlign w:val="bottom"/>
          </w:tcPr>
          <w:p w14:paraId="20FC5EDF" w14:textId="6B2E6A6C" w:rsidR="00020F69" w:rsidRPr="00C2399A"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203.6</w:t>
            </w:r>
          </w:p>
        </w:tc>
      </w:tr>
      <w:tr w:rsidR="00020F69" w:rsidRPr="0024497F" w14:paraId="25BBEED2"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311ED033" w14:textId="77777777" w:rsidR="00020F69" w:rsidRPr="0024497F" w:rsidRDefault="00020F69" w:rsidP="00020F69">
            <w:pPr>
              <w:pStyle w:val="ListParagraph"/>
              <w:ind w:left="0"/>
              <w:rPr>
                <w:rFonts w:ascii="Calibri" w:hAnsi="Calibri" w:cs="Calibri"/>
              </w:rPr>
            </w:pPr>
            <w:r w:rsidRPr="0024497F">
              <w:rPr>
                <w:rFonts w:ascii="Calibri" w:hAnsi="Calibri" w:cs="Calibri"/>
              </w:rPr>
              <w:t>Possible Injury</w:t>
            </w:r>
          </w:p>
        </w:tc>
        <w:tc>
          <w:tcPr>
            <w:tcW w:w="1890" w:type="dxa"/>
            <w:vAlign w:val="bottom"/>
          </w:tcPr>
          <w:p w14:paraId="0625F6B1" w14:textId="6C22AEDD"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29</w:t>
            </w:r>
          </w:p>
        </w:tc>
        <w:tc>
          <w:tcPr>
            <w:tcW w:w="1890" w:type="dxa"/>
            <w:vAlign w:val="bottom"/>
          </w:tcPr>
          <w:p w14:paraId="7975A6AF" w14:textId="23F73456"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w:t>
            </w:r>
          </w:p>
        </w:tc>
        <w:tc>
          <w:tcPr>
            <w:tcW w:w="1890" w:type="dxa"/>
            <w:vAlign w:val="bottom"/>
          </w:tcPr>
          <w:p w14:paraId="3188853B" w14:textId="4C6FBCC8"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45</w:t>
            </w:r>
          </w:p>
        </w:tc>
        <w:tc>
          <w:tcPr>
            <w:tcW w:w="1890" w:type="dxa"/>
            <w:vAlign w:val="bottom"/>
          </w:tcPr>
          <w:p w14:paraId="5D6BF36F" w14:textId="1824B98C"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37</w:t>
            </w:r>
          </w:p>
        </w:tc>
        <w:tc>
          <w:tcPr>
            <w:tcW w:w="1890" w:type="dxa"/>
            <w:vAlign w:val="bottom"/>
          </w:tcPr>
          <w:p w14:paraId="1166E2B6" w14:textId="10B0939B"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37</w:t>
            </w:r>
          </w:p>
        </w:tc>
        <w:tc>
          <w:tcPr>
            <w:tcW w:w="1890" w:type="dxa"/>
            <w:vAlign w:val="bottom"/>
          </w:tcPr>
          <w:p w14:paraId="33141D7C" w14:textId="4A8A7143" w:rsidR="00020F69" w:rsidRPr="00C2399A"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35.6</w:t>
            </w:r>
          </w:p>
        </w:tc>
      </w:tr>
      <w:tr w:rsidR="00020F69" w:rsidRPr="0024497F" w14:paraId="700C6C04"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35C5C0C9" w14:textId="77777777" w:rsidR="00020F69" w:rsidRPr="0024497F" w:rsidRDefault="00020F69" w:rsidP="00020F69">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890" w:type="dxa"/>
            <w:vAlign w:val="bottom"/>
          </w:tcPr>
          <w:p w14:paraId="7E81B855" w14:textId="6F5FC266"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6</w:t>
            </w:r>
          </w:p>
        </w:tc>
        <w:tc>
          <w:tcPr>
            <w:tcW w:w="1890" w:type="dxa"/>
            <w:vAlign w:val="bottom"/>
          </w:tcPr>
          <w:p w14:paraId="51898280" w14:textId="0604B61D"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8</w:t>
            </w:r>
          </w:p>
        </w:tc>
        <w:tc>
          <w:tcPr>
            <w:tcW w:w="1890" w:type="dxa"/>
            <w:vAlign w:val="bottom"/>
          </w:tcPr>
          <w:p w14:paraId="23603873" w14:textId="7379C4E4"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890" w:type="dxa"/>
            <w:vAlign w:val="bottom"/>
          </w:tcPr>
          <w:p w14:paraId="3D626659" w14:textId="47FE465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10</w:t>
            </w:r>
          </w:p>
        </w:tc>
        <w:tc>
          <w:tcPr>
            <w:tcW w:w="1890" w:type="dxa"/>
            <w:vAlign w:val="bottom"/>
          </w:tcPr>
          <w:p w14:paraId="02FD449E" w14:textId="62D5E2A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11</w:t>
            </w:r>
          </w:p>
        </w:tc>
        <w:tc>
          <w:tcPr>
            <w:tcW w:w="1890" w:type="dxa"/>
            <w:vAlign w:val="bottom"/>
          </w:tcPr>
          <w:p w14:paraId="493E2489" w14:textId="654AAD23" w:rsidR="00020F69" w:rsidRPr="00C2399A"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7.6</w:t>
            </w:r>
          </w:p>
        </w:tc>
      </w:tr>
      <w:tr w:rsidR="00020F69" w:rsidRPr="0024497F" w14:paraId="00C694F7"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2798DAE7" w14:textId="77777777" w:rsidR="00020F69" w:rsidRPr="0024497F" w:rsidRDefault="00020F69" w:rsidP="00020F69">
            <w:pPr>
              <w:pStyle w:val="ListParagraph"/>
              <w:ind w:left="0"/>
              <w:rPr>
                <w:rFonts w:ascii="Calibri" w:hAnsi="Calibri" w:cs="Calibri"/>
              </w:rPr>
            </w:pPr>
            <w:r w:rsidRPr="0024497F">
              <w:rPr>
                <w:rFonts w:ascii="Calibri" w:hAnsi="Calibri" w:cs="Calibri"/>
              </w:rPr>
              <w:t>Serious Injury</w:t>
            </w:r>
          </w:p>
        </w:tc>
        <w:tc>
          <w:tcPr>
            <w:tcW w:w="1890" w:type="dxa"/>
            <w:vAlign w:val="bottom"/>
          </w:tcPr>
          <w:p w14:paraId="2E1296BA" w14:textId="57D44F4F"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890" w:type="dxa"/>
            <w:vAlign w:val="bottom"/>
          </w:tcPr>
          <w:p w14:paraId="1A2D2A00" w14:textId="41D13BB8"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890" w:type="dxa"/>
            <w:vAlign w:val="bottom"/>
          </w:tcPr>
          <w:p w14:paraId="51B0FFF7" w14:textId="241C1598"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w:t>
            </w:r>
          </w:p>
        </w:tc>
        <w:tc>
          <w:tcPr>
            <w:tcW w:w="1890" w:type="dxa"/>
            <w:vAlign w:val="bottom"/>
          </w:tcPr>
          <w:p w14:paraId="0E5888E4" w14:textId="7C668550"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90" w:type="dxa"/>
            <w:vAlign w:val="bottom"/>
          </w:tcPr>
          <w:p w14:paraId="7588445A" w14:textId="424B42B9"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890" w:type="dxa"/>
            <w:vAlign w:val="bottom"/>
          </w:tcPr>
          <w:p w14:paraId="07B33360" w14:textId="5F90C45F" w:rsidR="00020F69" w:rsidRPr="00C2399A"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2.6</w:t>
            </w:r>
          </w:p>
        </w:tc>
      </w:tr>
      <w:tr w:rsidR="00020F69" w:rsidRPr="0024497F" w14:paraId="406844ED"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5D4D65DA" w14:textId="77777777" w:rsidR="00020F69" w:rsidRPr="0024497F" w:rsidRDefault="00020F69" w:rsidP="00020F69">
            <w:pPr>
              <w:pStyle w:val="ListParagraph"/>
              <w:ind w:left="0"/>
              <w:rPr>
                <w:rFonts w:ascii="Calibri" w:hAnsi="Calibri" w:cs="Calibri"/>
              </w:rPr>
            </w:pPr>
            <w:r w:rsidRPr="0024497F">
              <w:rPr>
                <w:rFonts w:ascii="Calibri" w:hAnsi="Calibri" w:cs="Calibri"/>
              </w:rPr>
              <w:t>Fatality</w:t>
            </w:r>
          </w:p>
        </w:tc>
        <w:tc>
          <w:tcPr>
            <w:tcW w:w="1890" w:type="dxa"/>
            <w:vAlign w:val="bottom"/>
          </w:tcPr>
          <w:p w14:paraId="7D4936C8" w14:textId="5A23EEE2"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vAlign w:val="bottom"/>
          </w:tcPr>
          <w:p w14:paraId="7CC7931C" w14:textId="4A84199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vAlign w:val="bottom"/>
          </w:tcPr>
          <w:p w14:paraId="0F638E23" w14:textId="0634D039"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90" w:type="dxa"/>
            <w:vAlign w:val="bottom"/>
          </w:tcPr>
          <w:p w14:paraId="79509D04" w14:textId="2785018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90" w:type="dxa"/>
            <w:vAlign w:val="bottom"/>
          </w:tcPr>
          <w:p w14:paraId="24A4AD86" w14:textId="725CA57C" w:rsidR="00020F69" w:rsidRPr="002D1700"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90" w:type="dxa"/>
            <w:vAlign w:val="bottom"/>
          </w:tcPr>
          <w:p w14:paraId="5CA1A5F3" w14:textId="236CF880" w:rsidR="00020F69" w:rsidRPr="00C2399A" w:rsidRDefault="00020F69" w:rsidP="00020F6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0.2</w:t>
            </w:r>
          </w:p>
        </w:tc>
      </w:tr>
      <w:tr w:rsidR="00020F69" w14:paraId="1105BB02"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615" w:type="dxa"/>
          </w:tcPr>
          <w:p w14:paraId="7B291647" w14:textId="77777777" w:rsidR="00020F69" w:rsidRPr="0024497F" w:rsidRDefault="00020F69" w:rsidP="00020F69">
            <w:pPr>
              <w:pStyle w:val="ListParagraph"/>
              <w:ind w:left="0"/>
              <w:rPr>
                <w:rFonts w:ascii="Calibri" w:hAnsi="Calibri" w:cs="Calibri"/>
              </w:rPr>
            </w:pPr>
            <w:r w:rsidRPr="0024497F">
              <w:rPr>
                <w:rFonts w:ascii="Calibri" w:hAnsi="Calibri" w:cs="Calibri"/>
              </w:rPr>
              <w:t>Unknown Injury</w:t>
            </w:r>
          </w:p>
        </w:tc>
        <w:tc>
          <w:tcPr>
            <w:tcW w:w="1890" w:type="dxa"/>
            <w:vAlign w:val="bottom"/>
          </w:tcPr>
          <w:p w14:paraId="7248AE5B" w14:textId="6DEC1D12"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31</w:t>
            </w:r>
          </w:p>
        </w:tc>
        <w:tc>
          <w:tcPr>
            <w:tcW w:w="1890" w:type="dxa"/>
            <w:vAlign w:val="bottom"/>
          </w:tcPr>
          <w:p w14:paraId="6955CFF8" w14:textId="053A6F30"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w:t>
            </w:r>
          </w:p>
        </w:tc>
        <w:tc>
          <w:tcPr>
            <w:tcW w:w="1890" w:type="dxa"/>
            <w:vAlign w:val="bottom"/>
          </w:tcPr>
          <w:p w14:paraId="1C184120" w14:textId="7585F8A2"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38</w:t>
            </w:r>
          </w:p>
        </w:tc>
        <w:tc>
          <w:tcPr>
            <w:tcW w:w="1890" w:type="dxa"/>
            <w:vAlign w:val="bottom"/>
          </w:tcPr>
          <w:p w14:paraId="69872EE8" w14:textId="35435B14"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37</w:t>
            </w:r>
          </w:p>
        </w:tc>
        <w:tc>
          <w:tcPr>
            <w:tcW w:w="1890" w:type="dxa"/>
            <w:vAlign w:val="bottom"/>
          </w:tcPr>
          <w:p w14:paraId="021F62A9" w14:textId="3B67C1FD" w:rsidR="00020F69" w:rsidRPr="002D1700"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28</w:t>
            </w:r>
          </w:p>
        </w:tc>
        <w:tc>
          <w:tcPr>
            <w:tcW w:w="1890" w:type="dxa"/>
            <w:vAlign w:val="bottom"/>
          </w:tcPr>
          <w:p w14:paraId="0918A1D9" w14:textId="002C56F5" w:rsidR="00020F69" w:rsidRPr="00C2399A" w:rsidRDefault="00020F69" w:rsidP="00020F6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32.8</w:t>
            </w:r>
          </w:p>
        </w:tc>
      </w:tr>
    </w:tbl>
    <w:p w14:paraId="23E3F68A" w14:textId="77777777" w:rsidR="006F661D" w:rsidRDefault="006F661D" w:rsidP="006F661D"/>
    <w:p w14:paraId="30A65FF4" w14:textId="77777777" w:rsidR="008A5F58" w:rsidRDefault="008A5F58" w:rsidP="006F661D"/>
    <w:p w14:paraId="39E8957A" w14:textId="77777777" w:rsidR="008A5F58" w:rsidRDefault="008A5F58" w:rsidP="006F661D"/>
    <w:p w14:paraId="6BB35D15" w14:textId="77777777" w:rsidR="008A5F58" w:rsidRDefault="008A5F58" w:rsidP="006F661D"/>
    <w:p w14:paraId="3352FB25" w14:textId="77777777" w:rsidR="008A5F58" w:rsidRDefault="008A5F58" w:rsidP="006F661D"/>
    <w:p w14:paraId="7F404B13" w14:textId="77777777" w:rsidR="008A5F58" w:rsidRDefault="008A5F58" w:rsidP="006F661D"/>
    <w:p w14:paraId="21CE1F85" w14:textId="77777777" w:rsidR="008A5F58" w:rsidRDefault="008A5F58" w:rsidP="006F661D"/>
    <w:p w14:paraId="268B3295" w14:textId="77777777" w:rsidR="008A5F58" w:rsidRDefault="008A5F58" w:rsidP="006F661D"/>
    <w:p w14:paraId="0619C349" w14:textId="62BA1910" w:rsidR="008C5F21" w:rsidRPr="0024497F" w:rsidRDefault="008C5F21" w:rsidP="008C5F21">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11</w:t>
      </w:r>
      <w:r w:rsidRPr="0024497F">
        <w:rPr>
          <w:b/>
          <w:bCs/>
        </w:rPr>
        <w:fldChar w:fldCharType="end"/>
      </w:r>
      <w:r w:rsidRPr="0024497F">
        <w:rPr>
          <w:b/>
          <w:bCs/>
        </w:rPr>
        <w:t>.</w:t>
      </w:r>
      <w:r w:rsidRPr="0024497F">
        <w:t xml:space="preserve"> </w:t>
      </w:r>
      <w:r>
        <w:t xml:space="preserve">Roadway </w:t>
      </w:r>
      <w:r w:rsidRPr="0070256F">
        <w:t xml:space="preserve">Countermeasure #1 - </w:t>
      </w:r>
      <w:r w:rsidR="00F21E87" w:rsidRPr="00F21E87">
        <w:t>209, 304 Safety Treat Fixed Objects, Safety Lighting</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8C5F21" w:rsidRPr="0024497F" w14:paraId="58AA79C5"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25656CC3" w14:textId="77777777" w:rsidR="008C5F21" w:rsidRPr="0024497F" w:rsidRDefault="008C5F2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3F0A32E1" w14:textId="3D7610BA"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 xml:space="preserve">Countermeasure #1 - </w:t>
            </w:r>
            <w:r w:rsidR="00F21E87" w:rsidRPr="00F21E87">
              <w:t>209, 304 Safety Treat Fixed Objects, Safety Lighting</w:t>
            </w:r>
          </w:p>
          <w:p w14:paraId="054ECADE" w14:textId="66B73E85" w:rsidR="008C5F21" w:rsidRPr="00596FCB"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C95631">
              <w:t>72</w:t>
            </w:r>
            <w:r>
              <w:t>%</w:t>
            </w:r>
          </w:p>
          <w:p w14:paraId="3AC9540E" w14:textId="08113B03"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Service Life: </w:t>
            </w:r>
            <w:r w:rsidR="00C95631">
              <w:t>2</w:t>
            </w:r>
            <w:r>
              <w:t>0 Years</w:t>
            </w:r>
          </w:p>
        </w:tc>
      </w:tr>
      <w:tr w:rsidR="008C5F21" w:rsidRPr="0024497F" w14:paraId="37305CA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1F0E6EDC" w14:textId="77777777" w:rsidR="008C5F21" w:rsidRPr="0024497F" w:rsidRDefault="008C5F2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07BF9DCE"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5D159DEF"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2158B936"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63C608DC"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3F4EBB43"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4A72BCED"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EC6A3CB"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15867878"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62C83F46"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355DC3" w:rsidRPr="0024497F" w14:paraId="20125E95"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555F9F60" w14:textId="77777777" w:rsidR="00355DC3" w:rsidRPr="0024497F" w:rsidRDefault="00355DC3" w:rsidP="00355DC3">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507219DD" w14:textId="0BCB2496"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43</w:t>
            </w:r>
          </w:p>
        </w:tc>
        <w:tc>
          <w:tcPr>
            <w:tcW w:w="1440" w:type="dxa"/>
            <w:tcBorders>
              <w:top w:val="single" w:sz="4" w:space="0" w:color="5B9BD5"/>
            </w:tcBorders>
            <w:vAlign w:val="bottom"/>
          </w:tcPr>
          <w:p w14:paraId="44571405" w14:textId="4A49FB47"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36</w:t>
            </w:r>
          </w:p>
        </w:tc>
        <w:tc>
          <w:tcPr>
            <w:tcW w:w="1710" w:type="dxa"/>
            <w:tcBorders>
              <w:top w:val="single" w:sz="4" w:space="0" w:color="5B9BD5"/>
            </w:tcBorders>
            <w:vAlign w:val="bottom"/>
          </w:tcPr>
          <w:p w14:paraId="5BA7CA66" w14:textId="297AB3AD"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31</w:t>
            </w:r>
          </w:p>
        </w:tc>
        <w:tc>
          <w:tcPr>
            <w:tcW w:w="1530" w:type="dxa"/>
            <w:tcBorders>
              <w:top w:val="single" w:sz="4" w:space="0" w:color="5B9BD5"/>
            </w:tcBorders>
            <w:vAlign w:val="bottom"/>
          </w:tcPr>
          <w:p w14:paraId="4F0C88F0" w14:textId="6C69BE44"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37</w:t>
            </w:r>
          </w:p>
        </w:tc>
        <w:tc>
          <w:tcPr>
            <w:tcW w:w="1521" w:type="dxa"/>
            <w:tcBorders>
              <w:top w:val="single" w:sz="4" w:space="0" w:color="5B9BD5"/>
            </w:tcBorders>
            <w:vAlign w:val="bottom"/>
          </w:tcPr>
          <w:p w14:paraId="2EEE4FE2" w14:textId="521A214B"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38</w:t>
            </w:r>
          </w:p>
        </w:tc>
        <w:tc>
          <w:tcPr>
            <w:tcW w:w="1622" w:type="dxa"/>
            <w:tcBorders>
              <w:top w:val="single" w:sz="4" w:space="0" w:color="5B9BD5"/>
            </w:tcBorders>
            <w:vAlign w:val="bottom"/>
          </w:tcPr>
          <w:p w14:paraId="077B4BC6" w14:textId="64C5510D"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37.0</w:t>
            </w:r>
          </w:p>
        </w:tc>
        <w:tc>
          <w:tcPr>
            <w:tcW w:w="1622" w:type="dxa"/>
            <w:tcBorders>
              <w:top w:val="single" w:sz="4" w:space="0" w:color="5B9BD5"/>
            </w:tcBorders>
            <w:vAlign w:val="bottom"/>
          </w:tcPr>
          <w:p w14:paraId="2016A706" w14:textId="60F387E6"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10.4</w:t>
            </w:r>
          </w:p>
        </w:tc>
      </w:tr>
      <w:tr w:rsidR="00355DC3" w:rsidRPr="0024497F" w14:paraId="7B2CB75A"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BC345F4" w14:textId="77777777" w:rsidR="00355DC3" w:rsidRPr="0024497F" w:rsidRDefault="00355DC3" w:rsidP="00355DC3">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0D5F9AF4" w14:textId="2765A6F9"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w:t>
            </w:r>
          </w:p>
        </w:tc>
        <w:tc>
          <w:tcPr>
            <w:tcW w:w="1440" w:type="dxa"/>
            <w:vAlign w:val="bottom"/>
          </w:tcPr>
          <w:p w14:paraId="27C8391E" w14:textId="3E1C84A2"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10</w:t>
            </w:r>
          </w:p>
        </w:tc>
        <w:tc>
          <w:tcPr>
            <w:tcW w:w="1710" w:type="dxa"/>
            <w:vAlign w:val="bottom"/>
          </w:tcPr>
          <w:p w14:paraId="4743E966" w14:textId="4807F54E"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7</w:t>
            </w:r>
          </w:p>
        </w:tc>
        <w:tc>
          <w:tcPr>
            <w:tcW w:w="1530" w:type="dxa"/>
            <w:vAlign w:val="bottom"/>
          </w:tcPr>
          <w:p w14:paraId="135DBC0F" w14:textId="4ECB43D7"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3</w:t>
            </w:r>
          </w:p>
        </w:tc>
        <w:tc>
          <w:tcPr>
            <w:tcW w:w="1521" w:type="dxa"/>
            <w:vAlign w:val="bottom"/>
          </w:tcPr>
          <w:p w14:paraId="0E04424D" w14:textId="17C88AB5"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11</w:t>
            </w:r>
          </w:p>
        </w:tc>
        <w:tc>
          <w:tcPr>
            <w:tcW w:w="1622" w:type="dxa"/>
            <w:vAlign w:val="bottom"/>
          </w:tcPr>
          <w:p w14:paraId="547035F3" w14:textId="13F615EF"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7.6</w:t>
            </w:r>
          </w:p>
        </w:tc>
        <w:tc>
          <w:tcPr>
            <w:tcW w:w="1622" w:type="dxa"/>
            <w:vAlign w:val="bottom"/>
          </w:tcPr>
          <w:p w14:paraId="6FD28B08" w14:textId="355AFD63"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2.1</w:t>
            </w:r>
          </w:p>
        </w:tc>
      </w:tr>
      <w:tr w:rsidR="00355DC3" w:rsidRPr="0024497F" w14:paraId="01812882"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D82E4DD" w14:textId="77777777" w:rsidR="00355DC3" w:rsidRPr="0024497F" w:rsidRDefault="00355DC3" w:rsidP="00355DC3">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vAlign w:val="bottom"/>
          </w:tcPr>
          <w:p w14:paraId="2192E527" w14:textId="607A1607"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w:t>
            </w:r>
          </w:p>
        </w:tc>
        <w:tc>
          <w:tcPr>
            <w:tcW w:w="1440" w:type="dxa"/>
            <w:vAlign w:val="bottom"/>
          </w:tcPr>
          <w:p w14:paraId="1B6DCE2E" w14:textId="50059FFE"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710" w:type="dxa"/>
            <w:vAlign w:val="bottom"/>
          </w:tcPr>
          <w:p w14:paraId="5E8B7959" w14:textId="258C550E"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27BB45D7" w14:textId="27662031"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w:t>
            </w:r>
          </w:p>
        </w:tc>
        <w:tc>
          <w:tcPr>
            <w:tcW w:w="1521" w:type="dxa"/>
            <w:vAlign w:val="bottom"/>
          </w:tcPr>
          <w:p w14:paraId="56732245" w14:textId="202F7033"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vAlign w:val="bottom"/>
          </w:tcPr>
          <w:p w14:paraId="19F690C1" w14:textId="53FC62AD"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2.6</w:t>
            </w:r>
          </w:p>
        </w:tc>
        <w:tc>
          <w:tcPr>
            <w:tcW w:w="1622" w:type="dxa"/>
            <w:vAlign w:val="bottom"/>
          </w:tcPr>
          <w:p w14:paraId="231BEDDE" w14:textId="209C49A6"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0.7</w:t>
            </w:r>
          </w:p>
        </w:tc>
      </w:tr>
      <w:tr w:rsidR="00355DC3" w:rsidRPr="0024497F" w14:paraId="6083913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2FBA1F2" w14:textId="77777777" w:rsidR="00355DC3" w:rsidRPr="0024497F" w:rsidRDefault="00355DC3" w:rsidP="00355DC3">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1A80ACE4" w14:textId="03CF6DB2"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55755BF4" w14:textId="467F7A08"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710" w:type="dxa"/>
            <w:vAlign w:val="bottom"/>
          </w:tcPr>
          <w:p w14:paraId="1255712A" w14:textId="03C42516"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72E323B5" w14:textId="2F6DD984"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0EDDD396" w14:textId="0AA543D4"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vAlign w:val="bottom"/>
          </w:tcPr>
          <w:p w14:paraId="6F0AECA5" w14:textId="6F24C862"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0.8</w:t>
            </w:r>
          </w:p>
        </w:tc>
        <w:tc>
          <w:tcPr>
            <w:tcW w:w="1622" w:type="dxa"/>
            <w:vAlign w:val="bottom"/>
          </w:tcPr>
          <w:p w14:paraId="112556E7" w14:textId="3170118F"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0.2</w:t>
            </w:r>
          </w:p>
        </w:tc>
      </w:tr>
      <w:tr w:rsidR="00355DC3" w:rsidRPr="0024497F" w14:paraId="7A319367"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265E443" w14:textId="77777777" w:rsidR="00355DC3" w:rsidRPr="0024497F" w:rsidRDefault="00355DC3" w:rsidP="00355DC3">
            <w:pPr>
              <w:pStyle w:val="ListParagraph"/>
              <w:ind w:left="0"/>
              <w:rPr>
                <w:rFonts w:ascii="Calibri" w:hAnsi="Calibri" w:cs="Calibri"/>
              </w:rPr>
            </w:pPr>
            <w:r w:rsidRPr="0024497F">
              <w:rPr>
                <w:rFonts w:ascii="Calibri" w:hAnsi="Calibri" w:cs="Calibri"/>
              </w:rPr>
              <w:t>Fatality</w:t>
            </w:r>
          </w:p>
        </w:tc>
        <w:tc>
          <w:tcPr>
            <w:tcW w:w="1710" w:type="dxa"/>
            <w:vAlign w:val="bottom"/>
          </w:tcPr>
          <w:p w14:paraId="09F2A18E" w14:textId="499C3C17"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3C2C7571" w14:textId="425ED1EC"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10A23404" w14:textId="31AC54C3" w:rsidR="00355DC3" w:rsidRPr="0024497F"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39B22744" w14:textId="1D3CB098"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02991CD2" w14:textId="4FE4E781" w:rsidR="00355DC3"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46F351D8" w14:textId="51078802"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0.2</w:t>
            </w:r>
          </w:p>
        </w:tc>
        <w:tc>
          <w:tcPr>
            <w:tcW w:w="1622" w:type="dxa"/>
            <w:vAlign w:val="bottom"/>
          </w:tcPr>
          <w:p w14:paraId="7F97B617" w14:textId="08EAA1D6" w:rsidR="00355DC3" w:rsidRPr="00C2399A" w:rsidRDefault="00355DC3" w:rsidP="00355DC3">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0.1</w:t>
            </w:r>
          </w:p>
        </w:tc>
      </w:tr>
      <w:tr w:rsidR="00355DC3" w14:paraId="3309D2B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AF0CAC8" w14:textId="77777777" w:rsidR="00355DC3" w:rsidRPr="0024497F" w:rsidRDefault="00355DC3" w:rsidP="00355DC3">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62A037F1" w14:textId="75228D3E"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14</w:t>
            </w:r>
          </w:p>
        </w:tc>
        <w:tc>
          <w:tcPr>
            <w:tcW w:w="1440" w:type="dxa"/>
            <w:vAlign w:val="bottom"/>
          </w:tcPr>
          <w:p w14:paraId="378EF7DC" w14:textId="6A3E78F1"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11</w:t>
            </w:r>
          </w:p>
        </w:tc>
        <w:tc>
          <w:tcPr>
            <w:tcW w:w="1710" w:type="dxa"/>
            <w:vAlign w:val="bottom"/>
          </w:tcPr>
          <w:p w14:paraId="02C78E90" w14:textId="556CBBE2" w:rsidR="00355DC3" w:rsidRPr="0024497F"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w:t>
            </w:r>
          </w:p>
        </w:tc>
        <w:tc>
          <w:tcPr>
            <w:tcW w:w="1530" w:type="dxa"/>
            <w:vAlign w:val="bottom"/>
          </w:tcPr>
          <w:p w14:paraId="3CB4E369" w14:textId="48ACF29E"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12</w:t>
            </w:r>
          </w:p>
        </w:tc>
        <w:tc>
          <w:tcPr>
            <w:tcW w:w="1521" w:type="dxa"/>
            <w:vAlign w:val="bottom"/>
          </w:tcPr>
          <w:p w14:paraId="0284F65D" w14:textId="30E176EF" w:rsidR="00355DC3"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6</w:t>
            </w:r>
          </w:p>
        </w:tc>
        <w:tc>
          <w:tcPr>
            <w:tcW w:w="1622" w:type="dxa"/>
            <w:vAlign w:val="bottom"/>
          </w:tcPr>
          <w:p w14:paraId="41EBEF47" w14:textId="14CEEC73"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12.4</w:t>
            </w:r>
          </w:p>
        </w:tc>
        <w:tc>
          <w:tcPr>
            <w:tcW w:w="1622" w:type="dxa"/>
            <w:vAlign w:val="bottom"/>
          </w:tcPr>
          <w:p w14:paraId="1347580E" w14:textId="1637A1DF" w:rsidR="00355DC3" w:rsidRPr="00C2399A" w:rsidRDefault="00355DC3" w:rsidP="00355DC3">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3.5</w:t>
            </w:r>
          </w:p>
        </w:tc>
      </w:tr>
    </w:tbl>
    <w:p w14:paraId="1AE5E18B" w14:textId="77777777" w:rsidR="008C5F21" w:rsidRDefault="008C5F21" w:rsidP="008C5F21"/>
    <w:p w14:paraId="000A5F47" w14:textId="77777777" w:rsidR="008C5F21" w:rsidRDefault="008C5F21" w:rsidP="008C5F21"/>
    <w:p w14:paraId="28F5C8BD" w14:textId="1BF901C2" w:rsidR="008C5F21" w:rsidRPr="0024497F" w:rsidRDefault="008C5F21" w:rsidP="008C5F21">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12</w:t>
      </w:r>
      <w:r w:rsidRPr="0024497F">
        <w:rPr>
          <w:b/>
          <w:bCs/>
        </w:rPr>
        <w:fldChar w:fldCharType="end"/>
      </w:r>
      <w:r w:rsidRPr="0024497F">
        <w:rPr>
          <w:b/>
          <w:bCs/>
        </w:rPr>
        <w:t>.</w:t>
      </w:r>
      <w:r w:rsidRPr="0024497F">
        <w:t xml:space="preserve"> </w:t>
      </w:r>
      <w:r>
        <w:t xml:space="preserve">Roadway </w:t>
      </w:r>
      <w:r w:rsidRPr="0070256F">
        <w:t>Countermeasure #</w:t>
      </w:r>
      <w:r>
        <w:t xml:space="preserve">2 </w:t>
      </w:r>
      <w:r w:rsidRPr="0070256F">
        <w:t xml:space="preserve">- </w:t>
      </w:r>
      <w:r w:rsidR="00DA7B14" w:rsidRPr="00DA7B14">
        <w:t>108,305 Improve Traffic Signals, Safety Lighting at Intersection</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8C5F21" w:rsidRPr="0024497F" w14:paraId="4E35F992"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7822B900" w14:textId="77777777" w:rsidR="008C5F21" w:rsidRPr="0024497F" w:rsidRDefault="008C5F2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67202145" w14:textId="589BEC3F"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2 - </w:t>
            </w:r>
            <w:r w:rsidR="00DA7B14" w:rsidRPr="00DA7B14">
              <w:t>108,305 Improve Traffic Signals, Safety Lighting at Intersection</w:t>
            </w:r>
          </w:p>
          <w:p w14:paraId="56A94009" w14:textId="4F4DDE73" w:rsidR="008C5F21" w:rsidRPr="00596FCB"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DA7B14">
              <w:t>33</w:t>
            </w:r>
            <w:r>
              <w:t>%</w:t>
            </w:r>
          </w:p>
          <w:p w14:paraId="360A8FA8" w14:textId="4F562CC7"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1</w:t>
            </w:r>
            <w:r w:rsidR="00DA7B14">
              <w:t>5</w:t>
            </w:r>
            <w:r>
              <w:t xml:space="preserve"> Years</w:t>
            </w:r>
          </w:p>
        </w:tc>
      </w:tr>
      <w:tr w:rsidR="008C5F21" w:rsidRPr="0024497F" w14:paraId="12CD485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07B43234" w14:textId="77777777" w:rsidR="008C5F21" w:rsidRPr="0024497F" w:rsidRDefault="008C5F2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26F6B867"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620D1425"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2ACAA948"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3BCD00D4"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42A59E68"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66BACA01"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6E47A7B"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263B8CAA"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55901047"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C2399A" w:rsidRPr="0024497F" w14:paraId="75420739"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685BFAB4" w14:textId="77777777" w:rsidR="00C2399A" w:rsidRPr="0024497F" w:rsidRDefault="00C2399A" w:rsidP="00C2399A">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2BADBCD5" w14:textId="35585FC1"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46</w:t>
            </w:r>
          </w:p>
        </w:tc>
        <w:tc>
          <w:tcPr>
            <w:tcW w:w="1440" w:type="dxa"/>
            <w:tcBorders>
              <w:top w:val="single" w:sz="4" w:space="0" w:color="5B9BD5"/>
            </w:tcBorders>
            <w:vAlign w:val="bottom"/>
          </w:tcPr>
          <w:p w14:paraId="4332115E" w14:textId="2ED6A22B"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46</w:t>
            </w:r>
          </w:p>
        </w:tc>
        <w:tc>
          <w:tcPr>
            <w:tcW w:w="1710" w:type="dxa"/>
            <w:tcBorders>
              <w:top w:val="single" w:sz="4" w:space="0" w:color="5B9BD5"/>
            </w:tcBorders>
            <w:vAlign w:val="bottom"/>
          </w:tcPr>
          <w:p w14:paraId="72D122C1" w14:textId="63E70523"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23</w:t>
            </w:r>
          </w:p>
        </w:tc>
        <w:tc>
          <w:tcPr>
            <w:tcW w:w="1530" w:type="dxa"/>
            <w:tcBorders>
              <w:top w:val="single" w:sz="4" w:space="0" w:color="5B9BD5"/>
            </w:tcBorders>
            <w:vAlign w:val="bottom"/>
          </w:tcPr>
          <w:p w14:paraId="5C2F3D9F" w14:textId="5F3E05DF"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38</w:t>
            </w:r>
          </w:p>
        </w:tc>
        <w:tc>
          <w:tcPr>
            <w:tcW w:w="1521" w:type="dxa"/>
            <w:tcBorders>
              <w:top w:val="single" w:sz="4" w:space="0" w:color="5B9BD5"/>
            </w:tcBorders>
            <w:vAlign w:val="bottom"/>
          </w:tcPr>
          <w:p w14:paraId="1B5BF22D" w14:textId="265753C8"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33</w:t>
            </w:r>
          </w:p>
        </w:tc>
        <w:tc>
          <w:tcPr>
            <w:tcW w:w="1622" w:type="dxa"/>
            <w:tcBorders>
              <w:top w:val="single" w:sz="4" w:space="0" w:color="5B9BD5"/>
            </w:tcBorders>
            <w:vAlign w:val="bottom"/>
          </w:tcPr>
          <w:p w14:paraId="31667407" w14:textId="527268AC"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37.2</w:t>
            </w:r>
          </w:p>
        </w:tc>
        <w:tc>
          <w:tcPr>
            <w:tcW w:w="1622" w:type="dxa"/>
            <w:tcBorders>
              <w:top w:val="single" w:sz="4" w:space="0" w:color="5B9BD5"/>
            </w:tcBorders>
            <w:vAlign w:val="bottom"/>
          </w:tcPr>
          <w:p w14:paraId="427DF58D" w14:textId="013A6A46"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24.9</w:t>
            </w:r>
          </w:p>
        </w:tc>
      </w:tr>
      <w:tr w:rsidR="00C2399A" w:rsidRPr="0024497F" w14:paraId="5F588E4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11C1038" w14:textId="77777777" w:rsidR="00C2399A" w:rsidRPr="0024497F" w:rsidRDefault="00C2399A" w:rsidP="00C2399A">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2CA6E739" w14:textId="0F938EB3"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4</w:t>
            </w:r>
          </w:p>
        </w:tc>
        <w:tc>
          <w:tcPr>
            <w:tcW w:w="1440" w:type="dxa"/>
            <w:vAlign w:val="bottom"/>
          </w:tcPr>
          <w:p w14:paraId="1A013600" w14:textId="76210F3A"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710" w:type="dxa"/>
            <w:vAlign w:val="bottom"/>
          </w:tcPr>
          <w:p w14:paraId="3B815722" w14:textId="015519A1"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8</w:t>
            </w:r>
          </w:p>
        </w:tc>
        <w:tc>
          <w:tcPr>
            <w:tcW w:w="1530" w:type="dxa"/>
            <w:vAlign w:val="bottom"/>
          </w:tcPr>
          <w:p w14:paraId="6BF88D3A" w14:textId="74CE218A"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10</w:t>
            </w:r>
          </w:p>
        </w:tc>
        <w:tc>
          <w:tcPr>
            <w:tcW w:w="1521" w:type="dxa"/>
            <w:vAlign w:val="bottom"/>
          </w:tcPr>
          <w:p w14:paraId="394ED25F" w14:textId="77C9864C"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622" w:type="dxa"/>
            <w:vAlign w:val="bottom"/>
          </w:tcPr>
          <w:p w14:paraId="1FE95A5C" w14:textId="5DFF6B9F"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6.4</w:t>
            </w:r>
          </w:p>
        </w:tc>
        <w:tc>
          <w:tcPr>
            <w:tcW w:w="1622" w:type="dxa"/>
            <w:vAlign w:val="bottom"/>
          </w:tcPr>
          <w:p w14:paraId="563C38B6" w14:textId="1D726456"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4.3</w:t>
            </w:r>
          </w:p>
        </w:tc>
      </w:tr>
      <w:tr w:rsidR="00C2399A" w:rsidRPr="0024497F" w14:paraId="2231933A"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3575D23" w14:textId="77777777" w:rsidR="00C2399A" w:rsidRPr="0024497F" w:rsidRDefault="00C2399A" w:rsidP="00C2399A">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vAlign w:val="bottom"/>
          </w:tcPr>
          <w:p w14:paraId="299CE0A8" w14:textId="6FC3B659"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026357D0" w14:textId="61F7BAB0"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382C84AE" w14:textId="63B2E06F"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1EEAD0F2" w14:textId="4DC9347F"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3</w:t>
            </w:r>
          </w:p>
        </w:tc>
        <w:tc>
          <w:tcPr>
            <w:tcW w:w="1521" w:type="dxa"/>
            <w:vAlign w:val="bottom"/>
          </w:tcPr>
          <w:p w14:paraId="315E9434" w14:textId="1BA1D876"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4</w:t>
            </w:r>
          </w:p>
        </w:tc>
        <w:tc>
          <w:tcPr>
            <w:tcW w:w="1622" w:type="dxa"/>
            <w:vAlign w:val="bottom"/>
          </w:tcPr>
          <w:p w14:paraId="146862E3" w14:textId="4EF7EB1B"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1.6</w:t>
            </w:r>
          </w:p>
        </w:tc>
        <w:tc>
          <w:tcPr>
            <w:tcW w:w="1622" w:type="dxa"/>
            <w:vAlign w:val="bottom"/>
          </w:tcPr>
          <w:p w14:paraId="03A669B2" w14:textId="4FD7ECB3"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1.1</w:t>
            </w:r>
          </w:p>
        </w:tc>
      </w:tr>
      <w:tr w:rsidR="00C2399A" w:rsidRPr="0024497F" w14:paraId="3AEE40C7"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2E9EF6F" w14:textId="77777777" w:rsidR="00C2399A" w:rsidRPr="0024497F" w:rsidRDefault="00C2399A" w:rsidP="00C2399A">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43936D96" w14:textId="0D30F84D"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09DFDB6D" w14:textId="18DAD38D"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6BF1A675" w14:textId="7E34E905"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308BC9BF" w14:textId="7575E115"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7DC765F2" w14:textId="727296E2"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622" w:type="dxa"/>
            <w:vAlign w:val="bottom"/>
          </w:tcPr>
          <w:p w14:paraId="659EF2A4" w14:textId="4CE32403"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0.6</w:t>
            </w:r>
          </w:p>
        </w:tc>
        <w:tc>
          <w:tcPr>
            <w:tcW w:w="1622" w:type="dxa"/>
            <w:vAlign w:val="bottom"/>
          </w:tcPr>
          <w:p w14:paraId="1DCF75FE" w14:textId="5720DAA3"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0.4</w:t>
            </w:r>
          </w:p>
        </w:tc>
      </w:tr>
      <w:tr w:rsidR="00C2399A" w:rsidRPr="0024497F" w14:paraId="4506913B"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137F246" w14:textId="77777777" w:rsidR="00C2399A" w:rsidRPr="0024497F" w:rsidRDefault="00C2399A" w:rsidP="00C2399A">
            <w:pPr>
              <w:pStyle w:val="ListParagraph"/>
              <w:ind w:left="0"/>
              <w:rPr>
                <w:rFonts w:ascii="Calibri" w:hAnsi="Calibri" w:cs="Calibri"/>
              </w:rPr>
            </w:pPr>
            <w:r w:rsidRPr="0024497F">
              <w:rPr>
                <w:rFonts w:ascii="Calibri" w:hAnsi="Calibri" w:cs="Calibri"/>
              </w:rPr>
              <w:t>Fatality</w:t>
            </w:r>
          </w:p>
        </w:tc>
        <w:tc>
          <w:tcPr>
            <w:tcW w:w="1710" w:type="dxa"/>
            <w:vAlign w:val="bottom"/>
          </w:tcPr>
          <w:p w14:paraId="3A565B6B" w14:textId="50D534C4"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DFDF89B" w14:textId="67D32A1B"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333718E4" w14:textId="37DA8604" w:rsidR="00C2399A" w:rsidRPr="0024497F"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63C2C0B6" w14:textId="13B9D805"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4167F6CF" w14:textId="4AFEA4EC" w:rsid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4C74443B" w14:textId="6074BC57"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0.0</w:t>
            </w:r>
          </w:p>
        </w:tc>
        <w:tc>
          <w:tcPr>
            <w:tcW w:w="1622" w:type="dxa"/>
            <w:vAlign w:val="bottom"/>
          </w:tcPr>
          <w:p w14:paraId="236A6DE4" w14:textId="7CBBB6C7" w:rsidR="00C2399A" w:rsidRPr="00C2399A" w:rsidRDefault="00C2399A" w:rsidP="00C2399A">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C2399A">
              <w:rPr>
                <w:rFonts w:ascii="Calibri" w:hAnsi="Calibri" w:cs="Calibri"/>
                <w:color w:val="000000"/>
              </w:rPr>
              <w:t>0.0</w:t>
            </w:r>
          </w:p>
        </w:tc>
      </w:tr>
      <w:tr w:rsidR="00C2399A" w14:paraId="2909424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7FE5043" w14:textId="77777777" w:rsidR="00C2399A" w:rsidRPr="0024497F" w:rsidRDefault="00C2399A" w:rsidP="00C2399A">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6259ED49" w14:textId="21ABA021"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5</w:t>
            </w:r>
          </w:p>
        </w:tc>
        <w:tc>
          <w:tcPr>
            <w:tcW w:w="1440" w:type="dxa"/>
            <w:vAlign w:val="bottom"/>
          </w:tcPr>
          <w:p w14:paraId="2EF0E648" w14:textId="179DAD19"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6</w:t>
            </w:r>
          </w:p>
        </w:tc>
        <w:tc>
          <w:tcPr>
            <w:tcW w:w="1710" w:type="dxa"/>
            <w:vAlign w:val="bottom"/>
          </w:tcPr>
          <w:p w14:paraId="6ABF2D0C" w14:textId="6A08C20A" w:rsidR="00C2399A" w:rsidRPr="0024497F"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43301DD8" w14:textId="0812AA35"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5</w:t>
            </w:r>
          </w:p>
        </w:tc>
        <w:tc>
          <w:tcPr>
            <w:tcW w:w="1521" w:type="dxa"/>
            <w:vAlign w:val="bottom"/>
          </w:tcPr>
          <w:p w14:paraId="27F5C44F" w14:textId="78298E95" w:rsid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7</w:t>
            </w:r>
          </w:p>
        </w:tc>
        <w:tc>
          <w:tcPr>
            <w:tcW w:w="1622" w:type="dxa"/>
            <w:vAlign w:val="bottom"/>
          </w:tcPr>
          <w:p w14:paraId="1A78C033" w14:textId="2D1A196C"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4.6</w:t>
            </w:r>
          </w:p>
        </w:tc>
        <w:tc>
          <w:tcPr>
            <w:tcW w:w="1622" w:type="dxa"/>
            <w:vAlign w:val="bottom"/>
          </w:tcPr>
          <w:p w14:paraId="25723288" w14:textId="15E2333D" w:rsidR="00C2399A" w:rsidRPr="00C2399A" w:rsidRDefault="00C2399A" w:rsidP="00C2399A">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C2399A">
              <w:rPr>
                <w:rFonts w:ascii="Calibri" w:hAnsi="Calibri" w:cs="Calibri"/>
                <w:color w:val="000000"/>
              </w:rPr>
              <w:t>3.1</w:t>
            </w:r>
          </w:p>
        </w:tc>
      </w:tr>
    </w:tbl>
    <w:p w14:paraId="633F8FF4" w14:textId="77777777" w:rsidR="008C5F21" w:rsidRDefault="008C5F21" w:rsidP="008C5F21"/>
    <w:p w14:paraId="18826367" w14:textId="77777777" w:rsidR="008C5F21" w:rsidRDefault="008C5F21" w:rsidP="008C5F21">
      <w:r>
        <w:br w:type="page"/>
      </w:r>
    </w:p>
    <w:p w14:paraId="5D2C1F23" w14:textId="1E8B9F7E" w:rsidR="008C5F21" w:rsidRPr="0024497F" w:rsidRDefault="008C5F21" w:rsidP="008C5F21">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13</w:t>
      </w:r>
      <w:r w:rsidRPr="0024497F">
        <w:rPr>
          <w:b/>
          <w:bCs/>
        </w:rPr>
        <w:fldChar w:fldCharType="end"/>
      </w:r>
      <w:r w:rsidRPr="0024497F">
        <w:rPr>
          <w:b/>
          <w:bCs/>
        </w:rPr>
        <w:t>.</w:t>
      </w:r>
      <w:r w:rsidRPr="0024497F">
        <w:t xml:space="preserve"> </w:t>
      </w:r>
      <w:r>
        <w:t xml:space="preserve">Roadway </w:t>
      </w:r>
      <w:r w:rsidRPr="0070256F">
        <w:t>Countermeasure #</w:t>
      </w:r>
      <w:r>
        <w:t>3</w:t>
      </w:r>
      <w:r w:rsidRPr="0070256F">
        <w:t xml:space="preserve"> - </w:t>
      </w:r>
      <w:r w:rsidR="00D5430B" w:rsidRPr="00D5430B">
        <w:t>303, 401 Resurfacing, Install Pavement Markings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8C5F21" w:rsidRPr="0024497F" w14:paraId="0E8B118C"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00B36ED1" w14:textId="77777777" w:rsidR="008C5F21" w:rsidRPr="0024497F" w:rsidRDefault="008C5F2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7EAEE704" w14:textId="77BA522C"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Roadway </w:t>
            </w:r>
            <w:r w:rsidRPr="00EC67AF">
              <w:t>Countermeasure #</w:t>
            </w:r>
            <w:r>
              <w:t xml:space="preserve">3 - </w:t>
            </w:r>
            <w:r w:rsidR="00D5430B" w:rsidRPr="00D5430B">
              <w:t>303, 401 Resurfacing, Install Pavement Markings</w:t>
            </w:r>
          </w:p>
          <w:p w14:paraId="16E19345" w14:textId="2271E2BF" w:rsidR="008C5F21" w:rsidRPr="00596FCB"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D5430B">
              <w:t>50</w:t>
            </w:r>
            <w:r>
              <w:t>%</w:t>
            </w:r>
          </w:p>
          <w:p w14:paraId="66DB8505" w14:textId="77777777" w:rsidR="008C5F21" w:rsidRDefault="008C5F21"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10 Years</w:t>
            </w:r>
          </w:p>
        </w:tc>
      </w:tr>
      <w:tr w:rsidR="008C5F21" w:rsidRPr="0024497F" w14:paraId="1850514C"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082CDD96" w14:textId="77777777" w:rsidR="008C5F21" w:rsidRPr="0024497F" w:rsidRDefault="008C5F2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3C3D8009"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1E65AA1F"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3D3C1A5D" w14:textId="77777777" w:rsidR="008C5F21" w:rsidRPr="0024497F"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45CC36FB"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466602D1"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286D847"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1A23F928" w14:textId="77777777" w:rsidR="008C5F21" w:rsidRPr="008007CE"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711A3371"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153473EF" w14:textId="77777777" w:rsidR="008C5F21" w:rsidRDefault="008C5F2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A54934" w:rsidRPr="0024497F" w14:paraId="49C7B74E"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5C4B904C" w14:textId="77777777" w:rsidR="00A54934" w:rsidRPr="0024497F" w:rsidRDefault="00A54934" w:rsidP="00A54934">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59EB9C95" w14:textId="08DFB102"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139</w:t>
            </w:r>
          </w:p>
        </w:tc>
        <w:tc>
          <w:tcPr>
            <w:tcW w:w="1440" w:type="dxa"/>
            <w:tcBorders>
              <w:top w:val="single" w:sz="4" w:space="0" w:color="5B9BD5"/>
            </w:tcBorders>
            <w:vAlign w:val="bottom"/>
          </w:tcPr>
          <w:p w14:paraId="3EE2EC53" w14:textId="06DACF90"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109</w:t>
            </w:r>
          </w:p>
        </w:tc>
        <w:tc>
          <w:tcPr>
            <w:tcW w:w="1710" w:type="dxa"/>
            <w:tcBorders>
              <w:top w:val="single" w:sz="4" w:space="0" w:color="5B9BD5"/>
            </w:tcBorders>
            <w:vAlign w:val="bottom"/>
          </w:tcPr>
          <w:p w14:paraId="22911115" w14:textId="685E64DC"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140</w:t>
            </w:r>
          </w:p>
        </w:tc>
        <w:tc>
          <w:tcPr>
            <w:tcW w:w="1530" w:type="dxa"/>
            <w:tcBorders>
              <w:top w:val="single" w:sz="4" w:space="0" w:color="5B9BD5"/>
            </w:tcBorders>
            <w:vAlign w:val="bottom"/>
          </w:tcPr>
          <w:p w14:paraId="32491FCE" w14:textId="064115F4"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114</w:t>
            </w:r>
          </w:p>
        </w:tc>
        <w:tc>
          <w:tcPr>
            <w:tcW w:w="1521" w:type="dxa"/>
            <w:tcBorders>
              <w:top w:val="single" w:sz="4" w:space="0" w:color="5B9BD5"/>
            </w:tcBorders>
            <w:vAlign w:val="bottom"/>
          </w:tcPr>
          <w:p w14:paraId="3A55FF1F" w14:textId="6EC8C920"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145</w:t>
            </w:r>
          </w:p>
        </w:tc>
        <w:tc>
          <w:tcPr>
            <w:tcW w:w="1622" w:type="dxa"/>
            <w:tcBorders>
              <w:top w:val="single" w:sz="4" w:space="0" w:color="5B9BD5"/>
            </w:tcBorders>
            <w:vAlign w:val="bottom"/>
          </w:tcPr>
          <w:p w14:paraId="10292793" w14:textId="42015BA9"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129.4</w:t>
            </w:r>
          </w:p>
        </w:tc>
        <w:tc>
          <w:tcPr>
            <w:tcW w:w="1622" w:type="dxa"/>
            <w:tcBorders>
              <w:top w:val="single" w:sz="4" w:space="0" w:color="5B9BD5"/>
            </w:tcBorders>
            <w:vAlign w:val="bottom"/>
          </w:tcPr>
          <w:p w14:paraId="15DFE7AE" w14:textId="58D952E0"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64.7</w:t>
            </w:r>
          </w:p>
        </w:tc>
      </w:tr>
      <w:tr w:rsidR="00A54934" w:rsidRPr="0024497F" w14:paraId="57989CEB"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DD014EA" w14:textId="77777777" w:rsidR="00A54934" w:rsidRPr="0024497F" w:rsidRDefault="00A54934" w:rsidP="00A54934">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02BF05DD" w14:textId="437A9412"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18</w:t>
            </w:r>
          </w:p>
        </w:tc>
        <w:tc>
          <w:tcPr>
            <w:tcW w:w="1440" w:type="dxa"/>
            <w:vAlign w:val="bottom"/>
          </w:tcPr>
          <w:p w14:paraId="7550B33E" w14:textId="26787A7D"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15</w:t>
            </w:r>
          </w:p>
        </w:tc>
        <w:tc>
          <w:tcPr>
            <w:tcW w:w="1710" w:type="dxa"/>
            <w:vAlign w:val="bottom"/>
          </w:tcPr>
          <w:p w14:paraId="33F94810" w14:textId="4E945F3F"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30</w:t>
            </w:r>
          </w:p>
        </w:tc>
        <w:tc>
          <w:tcPr>
            <w:tcW w:w="1530" w:type="dxa"/>
            <w:vAlign w:val="bottom"/>
          </w:tcPr>
          <w:p w14:paraId="7D4E6600" w14:textId="5EBCABCB"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24</w:t>
            </w:r>
          </w:p>
        </w:tc>
        <w:tc>
          <w:tcPr>
            <w:tcW w:w="1521" w:type="dxa"/>
            <w:vAlign w:val="bottom"/>
          </w:tcPr>
          <w:p w14:paraId="43AC062F" w14:textId="2912CDCD"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21</w:t>
            </w:r>
          </w:p>
        </w:tc>
        <w:tc>
          <w:tcPr>
            <w:tcW w:w="1622" w:type="dxa"/>
            <w:vAlign w:val="bottom"/>
          </w:tcPr>
          <w:p w14:paraId="39762067" w14:textId="042DDF54"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21.6</w:t>
            </w:r>
          </w:p>
        </w:tc>
        <w:tc>
          <w:tcPr>
            <w:tcW w:w="1622" w:type="dxa"/>
            <w:vAlign w:val="bottom"/>
          </w:tcPr>
          <w:p w14:paraId="03C5D568" w14:textId="388F5896"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10.8</w:t>
            </w:r>
          </w:p>
        </w:tc>
      </w:tr>
      <w:tr w:rsidR="00A54934" w:rsidRPr="0024497F" w14:paraId="75AFD775"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4C8CEAC" w14:textId="77777777" w:rsidR="00A54934" w:rsidRPr="0024497F" w:rsidRDefault="00A54934" w:rsidP="00A54934">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vAlign w:val="bottom"/>
          </w:tcPr>
          <w:p w14:paraId="76AD5427" w14:textId="1A97A2CB"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72825ACB" w14:textId="1526AD2C"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710" w:type="dxa"/>
            <w:vAlign w:val="bottom"/>
          </w:tcPr>
          <w:p w14:paraId="0DE21D0D" w14:textId="09D55A7E"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3</w:t>
            </w:r>
          </w:p>
        </w:tc>
        <w:tc>
          <w:tcPr>
            <w:tcW w:w="1530" w:type="dxa"/>
            <w:vAlign w:val="bottom"/>
          </w:tcPr>
          <w:p w14:paraId="36814694" w14:textId="073BB895"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1521" w:type="dxa"/>
            <w:vAlign w:val="bottom"/>
          </w:tcPr>
          <w:p w14:paraId="187D60DA" w14:textId="35CE588D"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5</w:t>
            </w:r>
          </w:p>
        </w:tc>
        <w:tc>
          <w:tcPr>
            <w:tcW w:w="1622" w:type="dxa"/>
            <w:vAlign w:val="bottom"/>
          </w:tcPr>
          <w:p w14:paraId="1CF950CE" w14:textId="3F4882A0"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3.4</w:t>
            </w:r>
          </w:p>
        </w:tc>
        <w:tc>
          <w:tcPr>
            <w:tcW w:w="1622" w:type="dxa"/>
            <w:vAlign w:val="bottom"/>
          </w:tcPr>
          <w:p w14:paraId="239DBEDD" w14:textId="217F746D"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1.7</w:t>
            </w:r>
          </w:p>
        </w:tc>
      </w:tr>
      <w:tr w:rsidR="00A54934" w:rsidRPr="0024497F" w14:paraId="7B4AE18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5E9A607" w14:textId="77777777" w:rsidR="00A54934" w:rsidRPr="0024497F" w:rsidRDefault="00A54934" w:rsidP="00A54934">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1F934492" w14:textId="38EF5DD0"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6FBA4969" w14:textId="4F43702E"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710" w:type="dxa"/>
            <w:vAlign w:val="bottom"/>
          </w:tcPr>
          <w:p w14:paraId="589F4012" w14:textId="7427F446"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530" w:type="dxa"/>
            <w:vAlign w:val="bottom"/>
          </w:tcPr>
          <w:p w14:paraId="7069E75A" w14:textId="2A87FA96"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vAlign w:val="bottom"/>
          </w:tcPr>
          <w:p w14:paraId="29DD485B" w14:textId="031E43AB"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292D8AD3" w14:textId="6F03281C"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1.2</w:t>
            </w:r>
          </w:p>
        </w:tc>
        <w:tc>
          <w:tcPr>
            <w:tcW w:w="1622" w:type="dxa"/>
            <w:vAlign w:val="bottom"/>
          </w:tcPr>
          <w:p w14:paraId="53338A3B" w14:textId="4FA6F637"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0.6</w:t>
            </w:r>
          </w:p>
        </w:tc>
      </w:tr>
      <w:tr w:rsidR="00A54934" w:rsidRPr="0024497F" w14:paraId="5D5F0C76"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02BA1D89" w14:textId="77777777" w:rsidR="00A54934" w:rsidRPr="0024497F" w:rsidRDefault="00A54934" w:rsidP="00A54934">
            <w:pPr>
              <w:pStyle w:val="ListParagraph"/>
              <w:ind w:left="0"/>
              <w:rPr>
                <w:rFonts w:ascii="Calibri" w:hAnsi="Calibri" w:cs="Calibri"/>
              </w:rPr>
            </w:pPr>
            <w:r w:rsidRPr="0024497F">
              <w:rPr>
                <w:rFonts w:ascii="Calibri" w:hAnsi="Calibri" w:cs="Calibri"/>
              </w:rPr>
              <w:t>Fatality</w:t>
            </w:r>
          </w:p>
        </w:tc>
        <w:tc>
          <w:tcPr>
            <w:tcW w:w="1710" w:type="dxa"/>
            <w:vAlign w:val="bottom"/>
          </w:tcPr>
          <w:p w14:paraId="390BB410" w14:textId="693CFEBF"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1079280" w14:textId="4DF5A9AE"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6A8BE3F5" w14:textId="682D43BB" w:rsidR="00A54934" w:rsidRPr="0024497F"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13B51555" w14:textId="41374C66"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250023DD" w14:textId="5BB5577A" w:rsid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116CA1CA" w14:textId="60C5829F"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0.0</w:t>
            </w:r>
          </w:p>
        </w:tc>
        <w:tc>
          <w:tcPr>
            <w:tcW w:w="1622" w:type="dxa"/>
            <w:vAlign w:val="bottom"/>
          </w:tcPr>
          <w:p w14:paraId="0F878752" w14:textId="37C69BDA" w:rsidR="00A54934" w:rsidRPr="00A54934" w:rsidRDefault="00A54934" w:rsidP="00A54934">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A54934">
              <w:rPr>
                <w:rFonts w:ascii="Calibri" w:hAnsi="Calibri" w:cs="Calibri"/>
                <w:color w:val="000000"/>
              </w:rPr>
              <w:t>0.0</w:t>
            </w:r>
          </w:p>
        </w:tc>
      </w:tr>
      <w:tr w:rsidR="00A54934" w14:paraId="3C6E7881"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226DE323" w14:textId="77777777" w:rsidR="00A54934" w:rsidRPr="0024497F" w:rsidRDefault="00A54934" w:rsidP="00A54934">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6CAF6824" w14:textId="4D9FE456"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12</w:t>
            </w:r>
          </w:p>
        </w:tc>
        <w:tc>
          <w:tcPr>
            <w:tcW w:w="1440" w:type="dxa"/>
            <w:vAlign w:val="bottom"/>
          </w:tcPr>
          <w:p w14:paraId="203B1049" w14:textId="605E1867"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13</w:t>
            </w:r>
          </w:p>
        </w:tc>
        <w:tc>
          <w:tcPr>
            <w:tcW w:w="1710" w:type="dxa"/>
            <w:vAlign w:val="bottom"/>
          </w:tcPr>
          <w:p w14:paraId="14EC86E1" w14:textId="31674BAB" w:rsidR="00A54934" w:rsidRPr="0024497F"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19</w:t>
            </w:r>
          </w:p>
        </w:tc>
        <w:tc>
          <w:tcPr>
            <w:tcW w:w="1530" w:type="dxa"/>
            <w:vAlign w:val="bottom"/>
          </w:tcPr>
          <w:p w14:paraId="50FF2EB8" w14:textId="2AEEBCD7"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20</w:t>
            </w:r>
          </w:p>
        </w:tc>
        <w:tc>
          <w:tcPr>
            <w:tcW w:w="1521" w:type="dxa"/>
            <w:vAlign w:val="bottom"/>
          </w:tcPr>
          <w:p w14:paraId="68B01F89" w14:textId="6376B40D" w:rsid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tc>
        <w:tc>
          <w:tcPr>
            <w:tcW w:w="1622" w:type="dxa"/>
            <w:vAlign w:val="bottom"/>
          </w:tcPr>
          <w:p w14:paraId="47B6AAAD" w14:textId="2D991FAB"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15.8</w:t>
            </w:r>
          </w:p>
        </w:tc>
        <w:tc>
          <w:tcPr>
            <w:tcW w:w="1622" w:type="dxa"/>
            <w:vAlign w:val="bottom"/>
          </w:tcPr>
          <w:p w14:paraId="45BE9BDE" w14:textId="27804394" w:rsidR="00A54934" w:rsidRPr="00A54934" w:rsidRDefault="00A54934" w:rsidP="00A54934">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A54934">
              <w:rPr>
                <w:rFonts w:ascii="Calibri" w:hAnsi="Calibri" w:cs="Calibri"/>
                <w:color w:val="000000"/>
              </w:rPr>
              <w:t>7.9</w:t>
            </w:r>
          </w:p>
        </w:tc>
      </w:tr>
    </w:tbl>
    <w:p w14:paraId="7511B311" w14:textId="77777777" w:rsidR="008C5F21" w:rsidRDefault="008C5F21" w:rsidP="008C5F21"/>
    <w:p w14:paraId="31CD5A0D" w14:textId="61F05146" w:rsidR="00F933AF" w:rsidRPr="0024497F" w:rsidRDefault="00F933AF" w:rsidP="00F933AF">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14</w:t>
      </w:r>
      <w:r w:rsidRPr="0024497F">
        <w:rPr>
          <w:b/>
          <w:bCs/>
        </w:rPr>
        <w:fldChar w:fldCharType="end"/>
      </w:r>
      <w:r w:rsidRPr="0024497F">
        <w:rPr>
          <w:b/>
          <w:bCs/>
        </w:rPr>
        <w:t>.</w:t>
      </w:r>
      <w:r w:rsidRPr="0024497F">
        <w:t xml:space="preserve"> </w:t>
      </w:r>
      <w:r>
        <w:t xml:space="preserve">Pedestrian </w:t>
      </w:r>
      <w:r w:rsidRPr="00650557">
        <w:t>Related Crashes</w:t>
      </w:r>
      <w:r>
        <w:t xml:space="preserve"> -</w:t>
      </w:r>
      <w:r w:rsidRPr="0024497F">
        <w:t xml:space="preserve"> Injury Data (5-Year Average)</w:t>
      </w:r>
    </w:p>
    <w:tbl>
      <w:tblPr>
        <w:tblStyle w:val="TGCCenterAlignment"/>
        <w:tblW w:w="12926" w:type="dxa"/>
        <w:tblLayout w:type="fixed"/>
        <w:tblLook w:val="04A0" w:firstRow="1" w:lastRow="0" w:firstColumn="1" w:lastColumn="0" w:noHBand="0" w:noVBand="1"/>
      </w:tblPr>
      <w:tblGrid>
        <w:gridCol w:w="1842"/>
        <w:gridCol w:w="1739"/>
        <w:gridCol w:w="1948"/>
        <w:gridCol w:w="1849"/>
        <w:gridCol w:w="1847"/>
        <w:gridCol w:w="1847"/>
        <w:gridCol w:w="1854"/>
      </w:tblGrid>
      <w:tr w:rsidR="00F933AF" w:rsidRPr="0024497F" w14:paraId="62C90FB7" w14:textId="77777777" w:rsidTr="00172BB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842" w:type="dxa"/>
            <w:vMerge w:val="restart"/>
          </w:tcPr>
          <w:p w14:paraId="2E047EB7" w14:textId="77777777" w:rsidR="00F933AF" w:rsidRPr="0024497F" w:rsidRDefault="00F933AF" w:rsidP="00172BBD">
            <w:pPr>
              <w:pStyle w:val="ListParagraph"/>
              <w:ind w:left="0"/>
              <w:rPr>
                <w:rFonts w:ascii="Calibri" w:hAnsi="Calibri" w:cs="Calibri"/>
                <w:bCs w:val="0"/>
              </w:rPr>
            </w:pPr>
            <w:r w:rsidRPr="0024497F">
              <w:rPr>
                <w:rFonts w:ascii="Calibri" w:hAnsi="Calibri" w:cs="Calibri"/>
                <w:bCs w:val="0"/>
              </w:rPr>
              <w:t>Injury</w:t>
            </w:r>
          </w:p>
        </w:tc>
        <w:tc>
          <w:tcPr>
            <w:tcW w:w="11084" w:type="dxa"/>
            <w:gridSpan w:val="6"/>
          </w:tcPr>
          <w:p w14:paraId="7D7DEBB9" w14:textId="77777777" w:rsidR="00F933AF"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Pedestrian</w:t>
            </w:r>
          </w:p>
        </w:tc>
      </w:tr>
      <w:tr w:rsidR="00F933AF" w:rsidRPr="0024497F" w14:paraId="4261AA61"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vMerge/>
            <w:tcBorders>
              <w:bottom w:val="single" w:sz="4" w:space="0" w:color="5B9BD5"/>
            </w:tcBorders>
            <w:shd w:val="clear" w:color="auto" w:fill="002775" w:themeFill="accent1"/>
          </w:tcPr>
          <w:p w14:paraId="566CD4E4" w14:textId="77777777" w:rsidR="00F933AF" w:rsidRPr="0024497F" w:rsidRDefault="00F933AF" w:rsidP="00172BBD">
            <w:pPr>
              <w:pStyle w:val="ListParagraph"/>
              <w:ind w:left="0"/>
              <w:rPr>
                <w:rFonts w:ascii="Calibri" w:hAnsi="Calibri" w:cs="Calibri"/>
                <w:b/>
                <w:color w:val="FFFFFF" w:themeColor="background1"/>
              </w:rPr>
            </w:pPr>
          </w:p>
        </w:tc>
        <w:tc>
          <w:tcPr>
            <w:tcW w:w="1739" w:type="dxa"/>
            <w:tcBorders>
              <w:bottom w:val="single" w:sz="4" w:space="0" w:color="5B9BD5"/>
            </w:tcBorders>
            <w:shd w:val="clear" w:color="auto" w:fill="002775" w:themeFill="accent1"/>
          </w:tcPr>
          <w:p w14:paraId="283020DF"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948" w:type="dxa"/>
            <w:tcBorders>
              <w:bottom w:val="single" w:sz="4" w:space="0" w:color="5B9BD5"/>
            </w:tcBorders>
            <w:shd w:val="clear" w:color="auto" w:fill="002775" w:themeFill="accent1"/>
          </w:tcPr>
          <w:p w14:paraId="5969D005"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49" w:type="dxa"/>
            <w:tcBorders>
              <w:bottom w:val="single" w:sz="4" w:space="0" w:color="5B9BD5"/>
            </w:tcBorders>
            <w:shd w:val="clear" w:color="auto" w:fill="002775" w:themeFill="accent1"/>
          </w:tcPr>
          <w:p w14:paraId="4B5E34D2"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47" w:type="dxa"/>
            <w:tcBorders>
              <w:bottom w:val="single" w:sz="4" w:space="0" w:color="5B9BD5"/>
            </w:tcBorders>
            <w:shd w:val="clear" w:color="auto" w:fill="002775" w:themeFill="accent1"/>
          </w:tcPr>
          <w:p w14:paraId="781D306E"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47" w:type="dxa"/>
            <w:tcBorders>
              <w:bottom w:val="single" w:sz="4" w:space="0" w:color="5B9BD5"/>
            </w:tcBorders>
            <w:shd w:val="clear" w:color="auto" w:fill="002775" w:themeFill="accent1"/>
          </w:tcPr>
          <w:p w14:paraId="12D7EB7E"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54" w:type="dxa"/>
            <w:tcBorders>
              <w:bottom w:val="single" w:sz="4" w:space="0" w:color="5B9BD5"/>
            </w:tcBorders>
            <w:shd w:val="clear" w:color="auto" w:fill="002775" w:themeFill="accent1"/>
          </w:tcPr>
          <w:p w14:paraId="0071FA3F"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F9A0294"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6420B9" w:rsidRPr="0024497F" w14:paraId="40A0D933"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bottom w:val="single" w:sz="4" w:space="0" w:color="5B9BD5"/>
            </w:tcBorders>
          </w:tcPr>
          <w:p w14:paraId="37D21C93" w14:textId="77777777" w:rsidR="006420B9" w:rsidRPr="0024497F" w:rsidRDefault="006420B9" w:rsidP="006420B9">
            <w:pPr>
              <w:pStyle w:val="ListParagraph"/>
              <w:ind w:left="0"/>
              <w:rPr>
                <w:rFonts w:ascii="Calibri" w:hAnsi="Calibri" w:cs="Calibri"/>
              </w:rPr>
            </w:pPr>
            <w:r w:rsidRPr="0024497F">
              <w:rPr>
                <w:rFonts w:ascii="Calibri" w:hAnsi="Calibri" w:cs="Calibri"/>
              </w:rPr>
              <w:t>Non-Injury</w:t>
            </w:r>
          </w:p>
        </w:tc>
        <w:tc>
          <w:tcPr>
            <w:tcW w:w="1739" w:type="dxa"/>
            <w:tcBorders>
              <w:top w:val="single" w:sz="4" w:space="0" w:color="5B9BD5"/>
              <w:bottom w:val="single" w:sz="4" w:space="0" w:color="5B9BD5"/>
            </w:tcBorders>
            <w:vAlign w:val="bottom"/>
          </w:tcPr>
          <w:p w14:paraId="129F0095" w14:textId="4879633A"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948" w:type="dxa"/>
            <w:tcBorders>
              <w:top w:val="single" w:sz="4" w:space="0" w:color="5B9BD5"/>
              <w:bottom w:val="single" w:sz="4" w:space="0" w:color="5B9BD5"/>
            </w:tcBorders>
            <w:vAlign w:val="bottom"/>
          </w:tcPr>
          <w:p w14:paraId="78E60B0C" w14:textId="065A9F87"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bottom w:val="single" w:sz="4" w:space="0" w:color="5B9BD5"/>
            </w:tcBorders>
            <w:vAlign w:val="bottom"/>
          </w:tcPr>
          <w:p w14:paraId="2C42D108" w14:textId="5FCF8328"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8</w:t>
            </w:r>
          </w:p>
        </w:tc>
        <w:tc>
          <w:tcPr>
            <w:tcW w:w="1847" w:type="dxa"/>
            <w:tcBorders>
              <w:top w:val="single" w:sz="4" w:space="0" w:color="5B9BD5"/>
              <w:bottom w:val="single" w:sz="4" w:space="0" w:color="5B9BD5"/>
            </w:tcBorders>
            <w:vAlign w:val="bottom"/>
          </w:tcPr>
          <w:p w14:paraId="1A59FB8C" w14:textId="6C656A9B"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w:t>
            </w:r>
          </w:p>
        </w:tc>
        <w:tc>
          <w:tcPr>
            <w:tcW w:w="1847" w:type="dxa"/>
            <w:tcBorders>
              <w:top w:val="single" w:sz="4" w:space="0" w:color="5B9BD5"/>
              <w:bottom w:val="single" w:sz="4" w:space="0" w:color="5B9BD5"/>
            </w:tcBorders>
            <w:vAlign w:val="bottom"/>
          </w:tcPr>
          <w:p w14:paraId="0913E2F5" w14:textId="66CDD619"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Borders>
              <w:top w:val="single" w:sz="4" w:space="0" w:color="5B9BD5"/>
              <w:bottom w:val="single" w:sz="4" w:space="0" w:color="5B9BD5"/>
            </w:tcBorders>
            <w:vAlign w:val="bottom"/>
          </w:tcPr>
          <w:p w14:paraId="5AF69437" w14:textId="3FD2885D" w:rsidR="006420B9" w:rsidRPr="006420B9"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420B9">
              <w:rPr>
                <w:rFonts w:ascii="Calibri" w:hAnsi="Calibri" w:cs="Calibri"/>
                <w:color w:val="000000"/>
              </w:rPr>
              <w:t>4.2</w:t>
            </w:r>
          </w:p>
        </w:tc>
      </w:tr>
      <w:tr w:rsidR="006420B9" w:rsidRPr="0024497F" w14:paraId="62C94E75"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tcBorders>
          </w:tcPr>
          <w:p w14:paraId="75B93D7C" w14:textId="77777777" w:rsidR="006420B9" w:rsidRPr="0024497F" w:rsidRDefault="006420B9" w:rsidP="006420B9">
            <w:pPr>
              <w:pStyle w:val="ListParagraph"/>
              <w:ind w:left="0"/>
            </w:pPr>
            <w:r w:rsidRPr="0024497F">
              <w:rPr>
                <w:rFonts w:ascii="Calibri" w:hAnsi="Calibri" w:cs="Calibri"/>
              </w:rPr>
              <w:t>Possible Injury</w:t>
            </w:r>
          </w:p>
        </w:tc>
        <w:tc>
          <w:tcPr>
            <w:tcW w:w="1739" w:type="dxa"/>
            <w:tcBorders>
              <w:top w:val="single" w:sz="4" w:space="0" w:color="5B9BD5"/>
            </w:tcBorders>
            <w:vAlign w:val="bottom"/>
          </w:tcPr>
          <w:p w14:paraId="5E78B495" w14:textId="6F429194"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tcBorders>
              <w:top w:val="single" w:sz="4" w:space="0" w:color="5B9BD5"/>
            </w:tcBorders>
            <w:vAlign w:val="bottom"/>
          </w:tcPr>
          <w:p w14:paraId="57B49FC1" w14:textId="5E12382F"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tcBorders>
            <w:vAlign w:val="bottom"/>
          </w:tcPr>
          <w:p w14:paraId="476190F8" w14:textId="014B9C1E"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847" w:type="dxa"/>
            <w:tcBorders>
              <w:top w:val="single" w:sz="4" w:space="0" w:color="5B9BD5"/>
            </w:tcBorders>
            <w:vAlign w:val="bottom"/>
          </w:tcPr>
          <w:p w14:paraId="05035C7B" w14:textId="383E9B53"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847" w:type="dxa"/>
            <w:tcBorders>
              <w:top w:val="single" w:sz="4" w:space="0" w:color="5B9BD5"/>
            </w:tcBorders>
            <w:vAlign w:val="bottom"/>
          </w:tcPr>
          <w:p w14:paraId="6CFF7AC0" w14:textId="3A6A7E79"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Borders>
              <w:top w:val="single" w:sz="4" w:space="0" w:color="5B9BD5"/>
            </w:tcBorders>
            <w:vAlign w:val="bottom"/>
          </w:tcPr>
          <w:p w14:paraId="20150E10" w14:textId="0BDEB178" w:rsidR="006420B9" w:rsidRPr="006420B9"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420B9">
              <w:rPr>
                <w:rFonts w:ascii="Calibri" w:hAnsi="Calibri" w:cs="Calibri"/>
                <w:color w:val="000000"/>
              </w:rPr>
              <w:t>1.0</w:t>
            </w:r>
          </w:p>
        </w:tc>
      </w:tr>
      <w:tr w:rsidR="006420B9" w:rsidRPr="0024497F" w14:paraId="28B431A5"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5FD3C5C1" w14:textId="77777777" w:rsidR="006420B9" w:rsidRPr="0024497F" w:rsidRDefault="006420B9" w:rsidP="006420B9">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39" w:type="dxa"/>
            <w:vAlign w:val="bottom"/>
          </w:tcPr>
          <w:p w14:paraId="5A56627D" w14:textId="4BD1FA6D"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3F0D4C66" w14:textId="5FDE57CD"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7C38A99C" w14:textId="4ADE3443"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24CFCD98" w14:textId="7A704EDC"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vAlign w:val="bottom"/>
          </w:tcPr>
          <w:p w14:paraId="530F06E0" w14:textId="0BE7ACE9"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0287A43C" w14:textId="428BD641" w:rsidR="006420B9" w:rsidRPr="006420B9"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r w:rsidR="006420B9" w:rsidRPr="0024497F" w14:paraId="5C02A5D5"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23E141FD" w14:textId="77777777" w:rsidR="006420B9" w:rsidRPr="0024497F" w:rsidRDefault="006420B9" w:rsidP="006420B9">
            <w:pPr>
              <w:pStyle w:val="ListParagraph"/>
              <w:ind w:left="0"/>
              <w:rPr>
                <w:rFonts w:ascii="Calibri" w:hAnsi="Calibri" w:cs="Calibri"/>
              </w:rPr>
            </w:pPr>
            <w:r w:rsidRPr="0024497F">
              <w:rPr>
                <w:rFonts w:ascii="Calibri" w:hAnsi="Calibri" w:cs="Calibri"/>
              </w:rPr>
              <w:t>Serious Injury</w:t>
            </w:r>
          </w:p>
        </w:tc>
        <w:tc>
          <w:tcPr>
            <w:tcW w:w="1739" w:type="dxa"/>
            <w:vAlign w:val="bottom"/>
          </w:tcPr>
          <w:p w14:paraId="13AD567D" w14:textId="73D3B151"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7BDBA923" w14:textId="78DCFC56"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34F4989B" w14:textId="5BA85005"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847" w:type="dxa"/>
            <w:vAlign w:val="bottom"/>
          </w:tcPr>
          <w:p w14:paraId="268F3393" w14:textId="5D3D0CA0"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5EBA49E5" w14:textId="2BFC2DE4"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2BB1B893" w14:textId="3EDA5CFE" w:rsidR="006420B9" w:rsidRPr="006420B9"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r w:rsidR="006420B9" w:rsidRPr="0024497F" w14:paraId="307D7078"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CA0D2B0" w14:textId="77777777" w:rsidR="006420B9" w:rsidRPr="0024497F" w:rsidRDefault="006420B9" w:rsidP="006420B9">
            <w:pPr>
              <w:pStyle w:val="ListParagraph"/>
              <w:ind w:left="0"/>
              <w:rPr>
                <w:rFonts w:ascii="Calibri" w:hAnsi="Calibri" w:cs="Calibri"/>
              </w:rPr>
            </w:pPr>
            <w:r w:rsidRPr="0024497F">
              <w:rPr>
                <w:rFonts w:ascii="Calibri" w:hAnsi="Calibri" w:cs="Calibri"/>
              </w:rPr>
              <w:t>Fatality</w:t>
            </w:r>
          </w:p>
        </w:tc>
        <w:tc>
          <w:tcPr>
            <w:tcW w:w="1739" w:type="dxa"/>
            <w:vAlign w:val="bottom"/>
          </w:tcPr>
          <w:p w14:paraId="70BFA2DE" w14:textId="3D99547E"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02D82573" w14:textId="68F0CEE7"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39215790" w14:textId="684225BD"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847" w:type="dxa"/>
            <w:vAlign w:val="bottom"/>
          </w:tcPr>
          <w:p w14:paraId="4F28FE4A" w14:textId="6501E4F5"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72B03898" w14:textId="2C9A07E0" w:rsidR="006420B9" w:rsidRPr="005F6A8D"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6D7805A5" w14:textId="5386F24F" w:rsidR="006420B9" w:rsidRPr="006420B9" w:rsidRDefault="006420B9" w:rsidP="006420B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r w:rsidR="006420B9" w:rsidRPr="0024497F" w14:paraId="0D6A057C"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57508A3A" w14:textId="77777777" w:rsidR="006420B9" w:rsidRPr="0024497F" w:rsidRDefault="006420B9" w:rsidP="006420B9">
            <w:pPr>
              <w:pStyle w:val="ListParagraph"/>
              <w:ind w:left="0"/>
              <w:rPr>
                <w:rFonts w:ascii="Calibri" w:hAnsi="Calibri" w:cs="Calibri"/>
              </w:rPr>
            </w:pPr>
            <w:r w:rsidRPr="0024497F">
              <w:rPr>
                <w:rFonts w:ascii="Calibri" w:hAnsi="Calibri" w:cs="Calibri"/>
              </w:rPr>
              <w:t>Unknown Injury</w:t>
            </w:r>
          </w:p>
        </w:tc>
        <w:tc>
          <w:tcPr>
            <w:tcW w:w="1739" w:type="dxa"/>
            <w:vAlign w:val="bottom"/>
          </w:tcPr>
          <w:p w14:paraId="47D3BCB8" w14:textId="6002BB60"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948" w:type="dxa"/>
            <w:vAlign w:val="bottom"/>
          </w:tcPr>
          <w:p w14:paraId="20FBBD08" w14:textId="69CCE14A"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748F9BBE" w14:textId="35E707B0"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4456BEEF" w14:textId="63F7746A"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4EE7BADA" w14:textId="75F85E9E" w:rsidR="006420B9" w:rsidRPr="005F6A8D"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2AF829D8" w14:textId="0653664D" w:rsidR="006420B9" w:rsidRPr="006420B9" w:rsidRDefault="006420B9" w:rsidP="006420B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6420B9">
              <w:rPr>
                <w:rFonts w:ascii="Calibri" w:hAnsi="Calibri" w:cs="Calibri"/>
                <w:color w:val="000000"/>
              </w:rPr>
              <w:t>0.2</w:t>
            </w:r>
          </w:p>
        </w:tc>
      </w:tr>
    </w:tbl>
    <w:p w14:paraId="37611A7F" w14:textId="77777777" w:rsidR="00F933AF" w:rsidRDefault="00F933AF" w:rsidP="00F933AF"/>
    <w:p w14:paraId="234259AC" w14:textId="77777777" w:rsidR="00F933AF" w:rsidRDefault="00F933AF" w:rsidP="00F933AF"/>
    <w:p w14:paraId="2A67281F" w14:textId="77777777" w:rsidR="00F933AF" w:rsidRDefault="00F933AF" w:rsidP="00F933AF"/>
    <w:p w14:paraId="511D6C89" w14:textId="77777777" w:rsidR="00F933AF" w:rsidRDefault="00F933AF" w:rsidP="00F933AF"/>
    <w:p w14:paraId="4376E5AA" w14:textId="5DCC75BD" w:rsidR="00F933AF" w:rsidRPr="0024497F" w:rsidRDefault="00F933AF" w:rsidP="00F933AF">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15</w:t>
      </w:r>
      <w:r w:rsidRPr="0024497F">
        <w:rPr>
          <w:b/>
          <w:bCs/>
        </w:rPr>
        <w:fldChar w:fldCharType="end"/>
      </w:r>
      <w:r w:rsidRPr="0024497F">
        <w:rPr>
          <w:b/>
          <w:bCs/>
        </w:rPr>
        <w:t>.</w:t>
      </w:r>
      <w:r w:rsidRPr="0024497F">
        <w:t xml:space="preserve"> </w:t>
      </w:r>
      <w:r>
        <w:t xml:space="preserve">Pedestrian </w:t>
      </w:r>
      <w:r w:rsidRPr="0070256F">
        <w:t>Countermeasure #</w:t>
      </w:r>
      <w:r>
        <w:t xml:space="preserve">1 </w:t>
      </w:r>
      <w:r w:rsidRPr="0070256F">
        <w:t xml:space="preserve">- </w:t>
      </w:r>
      <w:r w:rsidR="00C073B2" w:rsidRPr="00C073B2">
        <w:t>304, 407 Safety Lighting, Install Sidewalks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F933AF" w:rsidRPr="0024497F" w14:paraId="6493678C"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43557DDA" w14:textId="77777777" w:rsidR="00F933AF" w:rsidRPr="0024497F" w:rsidRDefault="00F933AF"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41C9FEE5" w14:textId="493CA03F" w:rsidR="00F933AF"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Pedestrian </w:t>
            </w:r>
            <w:r w:rsidRPr="00EC67AF">
              <w:t>Countermeasure #1</w:t>
            </w:r>
            <w:r>
              <w:t xml:space="preserve"> - </w:t>
            </w:r>
            <w:r w:rsidR="00C073B2" w:rsidRPr="00C073B2">
              <w:t>304, 407 Safety Lighting, Install Sidewalks</w:t>
            </w:r>
          </w:p>
          <w:p w14:paraId="7D4463D7" w14:textId="644E724D" w:rsidR="00F933AF" w:rsidRPr="00596FCB"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pPr>
            <w:r>
              <w:t xml:space="preserve">Reduction Factor: </w:t>
            </w:r>
            <w:r w:rsidR="00C073B2">
              <w:t>46</w:t>
            </w:r>
            <w:r>
              <w:t>%</w:t>
            </w:r>
          </w:p>
          <w:p w14:paraId="43B72857" w14:textId="65C5CC0D" w:rsidR="00F933AF" w:rsidRDefault="00F933AF"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1</w:t>
            </w:r>
            <w:r w:rsidR="00C073B2">
              <w:t xml:space="preserve">5 </w:t>
            </w:r>
            <w:r>
              <w:t>Years</w:t>
            </w:r>
          </w:p>
        </w:tc>
      </w:tr>
      <w:tr w:rsidR="00F933AF" w:rsidRPr="0024497F" w14:paraId="03366B8F"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05F84CD1" w14:textId="77777777" w:rsidR="00F933AF" w:rsidRPr="0024497F" w:rsidRDefault="00F933AF"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21A79112"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34751A49"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0B7E2595" w14:textId="77777777" w:rsidR="00F933AF" w:rsidRPr="0024497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01748E6A"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6F881E58"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54010BC2"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72CE52C" w14:textId="77777777" w:rsidR="00F933AF" w:rsidRPr="008007CE"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20609EB4"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35B53170" w14:textId="77777777" w:rsidR="00F933AF" w:rsidRDefault="00F933AF"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F93C6C" w:rsidRPr="0024497F" w14:paraId="44F9E32F"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59C90691" w14:textId="77777777" w:rsidR="00F93C6C" w:rsidRPr="0024497F" w:rsidRDefault="00F93C6C" w:rsidP="00F93C6C">
            <w:pPr>
              <w:pStyle w:val="ListParagraph"/>
              <w:ind w:left="0"/>
            </w:pPr>
            <w:r w:rsidRPr="0024497F">
              <w:rPr>
                <w:rFonts w:ascii="Calibri" w:hAnsi="Calibri" w:cs="Calibri"/>
              </w:rPr>
              <w:t>Non-Injury</w:t>
            </w:r>
          </w:p>
        </w:tc>
        <w:tc>
          <w:tcPr>
            <w:tcW w:w="1710" w:type="dxa"/>
            <w:tcBorders>
              <w:top w:val="single" w:sz="4" w:space="0" w:color="5B9BD5"/>
            </w:tcBorders>
            <w:vAlign w:val="bottom"/>
          </w:tcPr>
          <w:p w14:paraId="100DDCAC" w14:textId="23A68744"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5</w:t>
            </w:r>
          </w:p>
        </w:tc>
        <w:tc>
          <w:tcPr>
            <w:tcW w:w="1440" w:type="dxa"/>
            <w:tcBorders>
              <w:top w:val="single" w:sz="4" w:space="0" w:color="5B9BD5"/>
            </w:tcBorders>
            <w:vAlign w:val="bottom"/>
          </w:tcPr>
          <w:p w14:paraId="7ED75D7D" w14:textId="0425812B"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Borders>
              <w:top w:val="single" w:sz="4" w:space="0" w:color="5B9BD5"/>
            </w:tcBorders>
            <w:vAlign w:val="bottom"/>
          </w:tcPr>
          <w:p w14:paraId="272A8EA8" w14:textId="76C8468E"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8</w:t>
            </w:r>
          </w:p>
        </w:tc>
        <w:tc>
          <w:tcPr>
            <w:tcW w:w="1530" w:type="dxa"/>
            <w:tcBorders>
              <w:top w:val="single" w:sz="4" w:space="0" w:color="5B9BD5"/>
            </w:tcBorders>
            <w:vAlign w:val="bottom"/>
          </w:tcPr>
          <w:p w14:paraId="26AF7B74" w14:textId="669172A4"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7</w:t>
            </w:r>
          </w:p>
        </w:tc>
        <w:tc>
          <w:tcPr>
            <w:tcW w:w="1521" w:type="dxa"/>
            <w:tcBorders>
              <w:top w:val="single" w:sz="4" w:space="0" w:color="5B9BD5"/>
            </w:tcBorders>
            <w:vAlign w:val="bottom"/>
          </w:tcPr>
          <w:p w14:paraId="351FE25D" w14:textId="0178C4EC"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Borders>
              <w:top w:val="single" w:sz="4" w:space="0" w:color="5B9BD5"/>
            </w:tcBorders>
            <w:vAlign w:val="bottom"/>
          </w:tcPr>
          <w:p w14:paraId="233BDFBB" w14:textId="284C94AD"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4.2</w:t>
            </w:r>
          </w:p>
        </w:tc>
        <w:tc>
          <w:tcPr>
            <w:tcW w:w="1622" w:type="dxa"/>
            <w:tcBorders>
              <w:top w:val="single" w:sz="4" w:space="0" w:color="5B9BD5"/>
            </w:tcBorders>
            <w:vAlign w:val="bottom"/>
          </w:tcPr>
          <w:p w14:paraId="4B02C985" w14:textId="4E6F1870"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2.3</w:t>
            </w:r>
          </w:p>
        </w:tc>
      </w:tr>
      <w:tr w:rsidR="00F93C6C" w:rsidRPr="0024497F" w14:paraId="730C14FA"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418D632E" w14:textId="77777777" w:rsidR="00F93C6C" w:rsidRPr="0024497F" w:rsidRDefault="00F93C6C" w:rsidP="00F93C6C">
            <w:pPr>
              <w:pStyle w:val="ListParagraph"/>
              <w:ind w:left="0"/>
              <w:rPr>
                <w:rFonts w:ascii="Calibri" w:hAnsi="Calibri" w:cs="Calibri"/>
              </w:rPr>
            </w:pPr>
            <w:r w:rsidRPr="0024497F">
              <w:rPr>
                <w:rFonts w:ascii="Calibri" w:hAnsi="Calibri" w:cs="Calibri"/>
              </w:rPr>
              <w:t>Possible Injury</w:t>
            </w:r>
          </w:p>
        </w:tc>
        <w:tc>
          <w:tcPr>
            <w:tcW w:w="1710" w:type="dxa"/>
            <w:vAlign w:val="bottom"/>
          </w:tcPr>
          <w:p w14:paraId="6822C522" w14:textId="5F03763E"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8F198FF" w14:textId="717B0B9B"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07873AD8" w14:textId="7944DA83"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2</w:t>
            </w:r>
          </w:p>
        </w:tc>
        <w:tc>
          <w:tcPr>
            <w:tcW w:w="1530" w:type="dxa"/>
            <w:vAlign w:val="bottom"/>
          </w:tcPr>
          <w:p w14:paraId="69E91987" w14:textId="7F0F8E86"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2</w:t>
            </w:r>
          </w:p>
        </w:tc>
        <w:tc>
          <w:tcPr>
            <w:tcW w:w="1521" w:type="dxa"/>
            <w:vAlign w:val="bottom"/>
          </w:tcPr>
          <w:p w14:paraId="2E853E90" w14:textId="0E0CAAE3"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48BDF114" w14:textId="22427EAA"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1.0</w:t>
            </w:r>
          </w:p>
        </w:tc>
        <w:tc>
          <w:tcPr>
            <w:tcW w:w="1622" w:type="dxa"/>
            <w:vAlign w:val="bottom"/>
          </w:tcPr>
          <w:p w14:paraId="39D67325" w14:textId="23FC5E07"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0.5</w:t>
            </w:r>
          </w:p>
        </w:tc>
      </w:tr>
      <w:tr w:rsidR="00F93C6C" w:rsidRPr="0024497F" w14:paraId="7C1DD045"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318DA00D" w14:textId="77777777" w:rsidR="00F93C6C" w:rsidRPr="0024497F" w:rsidRDefault="00F93C6C" w:rsidP="00F93C6C">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vAlign w:val="bottom"/>
          </w:tcPr>
          <w:p w14:paraId="2141D57C" w14:textId="320BF1F7"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75A7C9D0" w14:textId="4F5DE912"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40F6339D" w14:textId="3D2192B4"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4026DC09" w14:textId="14675BC0"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vAlign w:val="bottom"/>
          </w:tcPr>
          <w:p w14:paraId="2DD4227B" w14:textId="5CC4C476"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3E3BA106" w14:textId="55BAF0C0"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109D42F1" w14:textId="0C790703"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r w:rsidR="00F93C6C" w:rsidRPr="0024497F" w14:paraId="54DD885F"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ECBD42A" w14:textId="77777777" w:rsidR="00F93C6C" w:rsidRPr="0024497F" w:rsidRDefault="00F93C6C" w:rsidP="00F93C6C">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0C9714B8" w14:textId="3EADF125"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B0298EF" w14:textId="1AD95620"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4DB1C43E" w14:textId="3F6ABD75"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37C259F0" w14:textId="142C3374"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360116BE" w14:textId="71B92900"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62D24698" w14:textId="6D467DBF"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37EB31AD" w14:textId="3B7E343A"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r w:rsidR="00F93C6C" w:rsidRPr="0024497F" w14:paraId="5736A61A"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1C58C23" w14:textId="77777777" w:rsidR="00F93C6C" w:rsidRPr="0024497F" w:rsidRDefault="00F93C6C" w:rsidP="00F93C6C">
            <w:pPr>
              <w:pStyle w:val="ListParagraph"/>
              <w:ind w:left="0"/>
              <w:rPr>
                <w:rFonts w:ascii="Calibri" w:hAnsi="Calibri" w:cs="Calibri"/>
              </w:rPr>
            </w:pPr>
            <w:r w:rsidRPr="0024497F">
              <w:rPr>
                <w:rFonts w:ascii="Calibri" w:hAnsi="Calibri" w:cs="Calibri"/>
              </w:rPr>
              <w:t>Fatality</w:t>
            </w:r>
          </w:p>
        </w:tc>
        <w:tc>
          <w:tcPr>
            <w:tcW w:w="1710" w:type="dxa"/>
            <w:vAlign w:val="bottom"/>
          </w:tcPr>
          <w:p w14:paraId="229DFC93" w14:textId="53DCC819"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21EF4F6C" w14:textId="79AE0E09"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74C6A8AA" w14:textId="0E1CB49A" w:rsidR="00F93C6C" w:rsidRPr="0024497F"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04417813" w14:textId="58D4373D"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5EA81D2F" w14:textId="2E87522B" w:rsid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72747B53" w14:textId="68744AEC"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79AC0487" w14:textId="39D79605" w:rsidR="00F93C6C" w:rsidRPr="00F93C6C" w:rsidRDefault="00F93C6C" w:rsidP="00F93C6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r w:rsidR="00F93C6C" w14:paraId="3B74A21B"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68F2569" w14:textId="77777777" w:rsidR="00F93C6C" w:rsidRPr="0024497F" w:rsidRDefault="00F93C6C" w:rsidP="00F93C6C">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1C9B118D" w14:textId="71DAD92F"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1</w:t>
            </w:r>
          </w:p>
        </w:tc>
        <w:tc>
          <w:tcPr>
            <w:tcW w:w="1440" w:type="dxa"/>
            <w:vAlign w:val="bottom"/>
          </w:tcPr>
          <w:p w14:paraId="03FD10FD" w14:textId="468132C4"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1E816752" w14:textId="4BCA90EC" w:rsidR="00F93C6C" w:rsidRPr="0024497F"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65656B1C" w14:textId="23C9D174"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7ECB0575" w14:textId="76EED6AB" w:rsid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4D9D561C" w14:textId="10070EB3"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0.2</w:t>
            </w:r>
          </w:p>
        </w:tc>
        <w:tc>
          <w:tcPr>
            <w:tcW w:w="1622" w:type="dxa"/>
            <w:vAlign w:val="bottom"/>
          </w:tcPr>
          <w:p w14:paraId="27FD4CB6" w14:textId="15875849" w:rsidR="00F93C6C" w:rsidRPr="00F93C6C" w:rsidRDefault="00F93C6C" w:rsidP="00F93C6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F93C6C">
              <w:rPr>
                <w:rFonts w:ascii="Calibri" w:hAnsi="Calibri" w:cs="Calibri"/>
                <w:color w:val="000000"/>
              </w:rPr>
              <w:t>0.1</w:t>
            </w:r>
          </w:p>
        </w:tc>
      </w:tr>
    </w:tbl>
    <w:p w14:paraId="047BC44C" w14:textId="77777777" w:rsidR="00F933AF" w:rsidRDefault="00F933AF" w:rsidP="00F933AF"/>
    <w:p w14:paraId="6F758A49" w14:textId="1E757D39" w:rsidR="00EB78E1" w:rsidRPr="0024497F" w:rsidRDefault="00EB78E1" w:rsidP="00EB78E1">
      <w:pPr>
        <w:pStyle w:val="Caption"/>
        <w:spacing w:after="0"/>
      </w:pPr>
      <w:r w:rsidRPr="0024497F">
        <w:rPr>
          <w:b/>
          <w:bCs/>
        </w:rPr>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16</w:t>
      </w:r>
      <w:r w:rsidRPr="0024497F">
        <w:rPr>
          <w:b/>
          <w:bCs/>
        </w:rPr>
        <w:fldChar w:fldCharType="end"/>
      </w:r>
      <w:r w:rsidRPr="0024497F">
        <w:rPr>
          <w:b/>
          <w:bCs/>
        </w:rPr>
        <w:t>.</w:t>
      </w:r>
      <w:r w:rsidRPr="0024497F">
        <w:t xml:space="preserve"> </w:t>
      </w:r>
      <w:r>
        <w:t xml:space="preserve">Bicycle Related </w:t>
      </w:r>
      <w:r w:rsidRPr="00767F9A">
        <w:t>C</w:t>
      </w:r>
      <w:r>
        <w:t>rashes -</w:t>
      </w:r>
      <w:r w:rsidRPr="0024497F">
        <w:t xml:space="preserve"> Injury Data (5-Year Average)</w:t>
      </w:r>
    </w:p>
    <w:tbl>
      <w:tblPr>
        <w:tblStyle w:val="TGCCenterAlignment"/>
        <w:tblW w:w="12926" w:type="dxa"/>
        <w:tblLayout w:type="fixed"/>
        <w:tblLook w:val="04A0" w:firstRow="1" w:lastRow="0" w:firstColumn="1" w:lastColumn="0" w:noHBand="0" w:noVBand="1"/>
      </w:tblPr>
      <w:tblGrid>
        <w:gridCol w:w="1842"/>
        <w:gridCol w:w="1739"/>
        <w:gridCol w:w="1948"/>
        <w:gridCol w:w="1849"/>
        <w:gridCol w:w="1847"/>
        <w:gridCol w:w="1847"/>
        <w:gridCol w:w="1854"/>
      </w:tblGrid>
      <w:tr w:rsidR="00EB78E1" w:rsidRPr="0024497F" w14:paraId="1DAD1B7D" w14:textId="77777777" w:rsidTr="00172BBD">
        <w:trPr>
          <w:cnfStyle w:val="100000000000" w:firstRow="1" w:lastRow="0" w:firstColumn="0" w:lastColumn="0" w:oddVBand="0" w:evenVBand="0" w:oddHBand="0" w:evenHBand="0" w:firstRowFirstColumn="0" w:firstRowLastColumn="0" w:lastRowFirstColumn="0" w:lastRowLastColumn="0"/>
          <w:trHeight w:val="422"/>
        </w:trPr>
        <w:tc>
          <w:tcPr>
            <w:cnfStyle w:val="001000000100" w:firstRow="0" w:lastRow="0" w:firstColumn="1" w:lastColumn="0" w:oddVBand="0" w:evenVBand="0" w:oddHBand="0" w:evenHBand="0" w:firstRowFirstColumn="1" w:firstRowLastColumn="0" w:lastRowFirstColumn="0" w:lastRowLastColumn="0"/>
            <w:tcW w:w="1842" w:type="dxa"/>
            <w:vMerge w:val="restart"/>
          </w:tcPr>
          <w:p w14:paraId="0B46F85A" w14:textId="77777777" w:rsidR="00EB78E1" w:rsidRPr="0024497F" w:rsidRDefault="00EB78E1" w:rsidP="00172BBD">
            <w:pPr>
              <w:pStyle w:val="ListParagraph"/>
              <w:ind w:left="0"/>
              <w:rPr>
                <w:rFonts w:ascii="Calibri" w:hAnsi="Calibri" w:cs="Calibri"/>
                <w:bCs w:val="0"/>
              </w:rPr>
            </w:pPr>
            <w:r w:rsidRPr="0024497F">
              <w:rPr>
                <w:rFonts w:ascii="Calibri" w:hAnsi="Calibri" w:cs="Calibri"/>
                <w:bCs w:val="0"/>
              </w:rPr>
              <w:t>Injury</w:t>
            </w:r>
          </w:p>
        </w:tc>
        <w:tc>
          <w:tcPr>
            <w:tcW w:w="11084" w:type="dxa"/>
            <w:gridSpan w:val="6"/>
          </w:tcPr>
          <w:p w14:paraId="3CB2427A" w14:textId="77777777" w:rsidR="00EB78E1"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pPr>
            <w:r>
              <w:t>First Harmful Event – Bicycle</w:t>
            </w:r>
          </w:p>
        </w:tc>
      </w:tr>
      <w:tr w:rsidR="00EB78E1" w:rsidRPr="0024497F" w14:paraId="27263C6B"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vMerge/>
            <w:tcBorders>
              <w:bottom w:val="single" w:sz="4" w:space="0" w:color="5B9BD5"/>
            </w:tcBorders>
            <w:shd w:val="clear" w:color="auto" w:fill="002775" w:themeFill="accent1"/>
          </w:tcPr>
          <w:p w14:paraId="150443BC" w14:textId="77777777" w:rsidR="00EB78E1" w:rsidRPr="0024497F" w:rsidRDefault="00EB78E1" w:rsidP="00172BBD">
            <w:pPr>
              <w:pStyle w:val="ListParagraph"/>
              <w:ind w:left="0"/>
              <w:rPr>
                <w:rFonts w:ascii="Calibri" w:hAnsi="Calibri" w:cs="Calibri"/>
                <w:b/>
                <w:color w:val="FFFFFF" w:themeColor="background1"/>
              </w:rPr>
            </w:pPr>
          </w:p>
        </w:tc>
        <w:tc>
          <w:tcPr>
            <w:tcW w:w="1739" w:type="dxa"/>
            <w:tcBorders>
              <w:bottom w:val="single" w:sz="4" w:space="0" w:color="5B9BD5"/>
            </w:tcBorders>
            <w:shd w:val="clear" w:color="auto" w:fill="002775" w:themeFill="accent1"/>
          </w:tcPr>
          <w:p w14:paraId="5FA7350C"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948" w:type="dxa"/>
            <w:tcBorders>
              <w:bottom w:val="single" w:sz="4" w:space="0" w:color="5B9BD5"/>
            </w:tcBorders>
            <w:shd w:val="clear" w:color="auto" w:fill="002775" w:themeFill="accent1"/>
          </w:tcPr>
          <w:p w14:paraId="2CAAFE94"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849" w:type="dxa"/>
            <w:tcBorders>
              <w:bottom w:val="single" w:sz="4" w:space="0" w:color="5B9BD5"/>
            </w:tcBorders>
            <w:shd w:val="clear" w:color="auto" w:fill="002775" w:themeFill="accent1"/>
          </w:tcPr>
          <w:p w14:paraId="36F538DA"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847" w:type="dxa"/>
            <w:tcBorders>
              <w:bottom w:val="single" w:sz="4" w:space="0" w:color="5B9BD5"/>
            </w:tcBorders>
            <w:shd w:val="clear" w:color="auto" w:fill="002775" w:themeFill="accent1"/>
          </w:tcPr>
          <w:p w14:paraId="7892C8CD"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847" w:type="dxa"/>
            <w:tcBorders>
              <w:bottom w:val="single" w:sz="4" w:space="0" w:color="5B9BD5"/>
            </w:tcBorders>
            <w:shd w:val="clear" w:color="auto" w:fill="002775" w:themeFill="accent1"/>
          </w:tcPr>
          <w:p w14:paraId="322E56DC"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854" w:type="dxa"/>
            <w:tcBorders>
              <w:bottom w:val="single" w:sz="4" w:space="0" w:color="5B9BD5"/>
            </w:tcBorders>
            <w:shd w:val="clear" w:color="auto" w:fill="002775" w:themeFill="accent1"/>
          </w:tcPr>
          <w:p w14:paraId="36C70F76"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0DA8FE08"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r>
      <w:tr w:rsidR="00605572" w:rsidRPr="0024497F" w14:paraId="68FB059E"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bottom w:val="single" w:sz="4" w:space="0" w:color="5B9BD5"/>
            </w:tcBorders>
          </w:tcPr>
          <w:p w14:paraId="00E8A19A" w14:textId="77777777" w:rsidR="00605572" w:rsidRPr="0024497F" w:rsidRDefault="00605572" w:rsidP="00605572">
            <w:pPr>
              <w:pStyle w:val="ListParagraph"/>
              <w:ind w:left="0"/>
              <w:rPr>
                <w:rFonts w:ascii="Calibri" w:hAnsi="Calibri" w:cs="Calibri"/>
              </w:rPr>
            </w:pPr>
            <w:r w:rsidRPr="0024497F">
              <w:rPr>
                <w:rFonts w:ascii="Calibri" w:hAnsi="Calibri" w:cs="Calibri"/>
              </w:rPr>
              <w:t>Non-Injury</w:t>
            </w:r>
          </w:p>
        </w:tc>
        <w:tc>
          <w:tcPr>
            <w:tcW w:w="1739" w:type="dxa"/>
            <w:tcBorders>
              <w:top w:val="single" w:sz="4" w:space="0" w:color="5B9BD5"/>
              <w:bottom w:val="single" w:sz="4" w:space="0" w:color="5B9BD5"/>
            </w:tcBorders>
            <w:vAlign w:val="bottom"/>
          </w:tcPr>
          <w:p w14:paraId="778C446B" w14:textId="43F2D2AD"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tcBorders>
              <w:top w:val="single" w:sz="4" w:space="0" w:color="5B9BD5"/>
              <w:bottom w:val="single" w:sz="4" w:space="0" w:color="5B9BD5"/>
            </w:tcBorders>
            <w:vAlign w:val="bottom"/>
          </w:tcPr>
          <w:p w14:paraId="5B29B4E8" w14:textId="07603575"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bottom w:val="single" w:sz="4" w:space="0" w:color="5B9BD5"/>
            </w:tcBorders>
            <w:vAlign w:val="bottom"/>
          </w:tcPr>
          <w:p w14:paraId="6A0E0D35" w14:textId="4DF9821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847" w:type="dxa"/>
            <w:tcBorders>
              <w:top w:val="single" w:sz="4" w:space="0" w:color="5B9BD5"/>
              <w:bottom w:val="single" w:sz="4" w:space="0" w:color="5B9BD5"/>
            </w:tcBorders>
            <w:vAlign w:val="bottom"/>
          </w:tcPr>
          <w:p w14:paraId="381D9DCB" w14:textId="52AE3926"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tcBorders>
              <w:top w:val="single" w:sz="4" w:space="0" w:color="5B9BD5"/>
              <w:bottom w:val="single" w:sz="4" w:space="0" w:color="5B9BD5"/>
            </w:tcBorders>
            <w:vAlign w:val="bottom"/>
          </w:tcPr>
          <w:p w14:paraId="633B5208" w14:textId="42165A9E"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13</w:t>
            </w:r>
          </w:p>
        </w:tc>
        <w:tc>
          <w:tcPr>
            <w:tcW w:w="1854" w:type="dxa"/>
            <w:tcBorders>
              <w:top w:val="single" w:sz="4" w:space="0" w:color="5B9BD5"/>
              <w:bottom w:val="single" w:sz="4" w:space="0" w:color="5B9BD5"/>
            </w:tcBorders>
            <w:vAlign w:val="bottom"/>
          </w:tcPr>
          <w:p w14:paraId="75C6DC36" w14:textId="0AB18ADD"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3.2</w:t>
            </w:r>
          </w:p>
        </w:tc>
      </w:tr>
      <w:tr w:rsidR="00605572" w:rsidRPr="0024497F" w14:paraId="0B094B2D"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Borders>
              <w:top w:val="single" w:sz="4" w:space="0" w:color="5B9BD5"/>
            </w:tcBorders>
          </w:tcPr>
          <w:p w14:paraId="01135DF0" w14:textId="77777777" w:rsidR="00605572" w:rsidRPr="0024497F" w:rsidRDefault="00605572" w:rsidP="00605572">
            <w:pPr>
              <w:pStyle w:val="ListParagraph"/>
              <w:ind w:left="0"/>
            </w:pPr>
            <w:r w:rsidRPr="0024497F">
              <w:rPr>
                <w:rFonts w:ascii="Calibri" w:hAnsi="Calibri" w:cs="Calibri"/>
              </w:rPr>
              <w:t>Possible Injury</w:t>
            </w:r>
          </w:p>
        </w:tc>
        <w:tc>
          <w:tcPr>
            <w:tcW w:w="1739" w:type="dxa"/>
            <w:tcBorders>
              <w:top w:val="single" w:sz="4" w:space="0" w:color="5B9BD5"/>
            </w:tcBorders>
            <w:vAlign w:val="bottom"/>
          </w:tcPr>
          <w:p w14:paraId="5F076400" w14:textId="6A391AC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tcBorders>
              <w:top w:val="single" w:sz="4" w:space="0" w:color="5B9BD5"/>
            </w:tcBorders>
            <w:vAlign w:val="bottom"/>
          </w:tcPr>
          <w:p w14:paraId="39944D76" w14:textId="334FD1C1"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tcBorders>
              <w:top w:val="single" w:sz="4" w:space="0" w:color="5B9BD5"/>
            </w:tcBorders>
            <w:vAlign w:val="bottom"/>
          </w:tcPr>
          <w:p w14:paraId="096C77AB" w14:textId="520A1285"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tcBorders>
              <w:top w:val="single" w:sz="4" w:space="0" w:color="5B9BD5"/>
            </w:tcBorders>
            <w:vAlign w:val="bottom"/>
          </w:tcPr>
          <w:p w14:paraId="21379FC2" w14:textId="1BB250A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47" w:type="dxa"/>
            <w:tcBorders>
              <w:top w:val="single" w:sz="4" w:space="0" w:color="5B9BD5"/>
            </w:tcBorders>
            <w:vAlign w:val="bottom"/>
          </w:tcPr>
          <w:p w14:paraId="6DF897A3" w14:textId="0EAE456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tcBorders>
              <w:top w:val="single" w:sz="4" w:space="0" w:color="5B9BD5"/>
            </w:tcBorders>
            <w:vAlign w:val="bottom"/>
          </w:tcPr>
          <w:p w14:paraId="74DE30F6" w14:textId="3901F025"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0.4</w:t>
            </w:r>
          </w:p>
        </w:tc>
      </w:tr>
      <w:tr w:rsidR="00605572" w:rsidRPr="0024497F" w14:paraId="2E593674"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7E95AFEC" w14:textId="77777777" w:rsidR="00605572" w:rsidRPr="0024497F" w:rsidRDefault="00605572" w:rsidP="00605572">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39" w:type="dxa"/>
            <w:vAlign w:val="bottom"/>
          </w:tcPr>
          <w:p w14:paraId="4F8AE1E0" w14:textId="3A0DBB1D"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1E083302" w14:textId="39723EFF"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3B998508" w14:textId="46704D63"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847" w:type="dxa"/>
            <w:vAlign w:val="bottom"/>
          </w:tcPr>
          <w:p w14:paraId="0B914B51" w14:textId="3B422C9C"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600319DF" w14:textId="0DF14A4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vAlign w:val="bottom"/>
          </w:tcPr>
          <w:p w14:paraId="720469BC" w14:textId="6E0C2AB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0.4</w:t>
            </w:r>
          </w:p>
        </w:tc>
      </w:tr>
      <w:tr w:rsidR="00605572" w:rsidRPr="0024497F" w14:paraId="083B2A21"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2F8ABC02" w14:textId="77777777" w:rsidR="00605572" w:rsidRPr="0024497F" w:rsidRDefault="00605572" w:rsidP="00605572">
            <w:pPr>
              <w:pStyle w:val="ListParagraph"/>
              <w:ind w:left="0"/>
              <w:rPr>
                <w:rFonts w:ascii="Calibri" w:hAnsi="Calibri" w:cs="Calibri"/>
              </w:rPr>
            </w:pPr>
            <w:r w:rsidRPr="0024497F">
              <w:rPr>
                <w:rFonts w:ascii="Calibri" w:hAnsi="Calibri" w:cs="Calibri"/>
              </w:rPr>
              <w:t>Serious Injury</w:t>
            </w:r>
          </w:p>
        </w:tc>
        <w:tc>
          <w:tcPr>
            <w:tcW w:w="1739" w:type="dxa"/>
            <w:vAlign w:val="bottom"/>
          </w:tcPr>
          <w:p w14:paraId="785B7795" w14:textId="3C648F1C"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68078DAE" w14:textId="4FB67CF8"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04D3447A" w14:textId="4021ED26"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37F69DE4" w14:textId="68180287"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0B13F5B2" w14:textId="5732C41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17C5542E" w14:textId="36E24278"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4B2EF502" w14:textId="77777777" w:rsidTr="00172BBD">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0CBD70E" w14:textId="77777777" w:rsidR="00605572" w:rsidRPr="0024497F" w:rsidRDefault="00605572" w:rsidP="00605572">
            <w:pPr>
              <w:pStyle w:val="ListParagraph"/>
              <w:ind w:left="0"/>
              <w:rPr>
                <w:rFonts w:ascii="Calibri" w:hAnsi="Calibri" w:cs="Calibri"/>
              </w:rPr>
            </w:pPr>
            <w:r w:rsidRPr="0024497F">
              <w:rPr>
                <w:rFonts w:ascii="Calibri" w:hAnsi="Calibri" w:cs="Calibri"/>
              </w:rPr>
              <w:t>Fatality</w:t>
            </w:r>
          </w:p>
        </w:tc>
        <w:tc>
          <w:tcPr>
            <w:tcW w:w="1739" w:type="dxa"/>
            <w:vAlign w:val="bottom"/>
          </w:tcPr>
          <w:p w14:paraId="07060E3A" w14:textId="7445BCC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0E5C8E41" w14:textId="416BD92F"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0FCA1C86" w14:textId="490FF896"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57B4EA0A" w14:textId="638A7BC0"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528365A9" w14:textId="51FB164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854" w:type="dxa"/>
            <w:vAlign w:val="bottom"/>
          </w:tcPr>
          <w:p w14:paraId="15DFF10B" w14:textId="69180973"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0676F34E" w14:textId="77777777" w:rsidTr="00172BB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42" w:type="dxa"/>
          </w:tcPr>
          <w:p w14:paraId="637A288A" w14:textId="77777777" w:rsidR="00605572" w:rsidRPr="0024497F" w:rsidRDefault="00605572" w:rsidP="00605572">
            <w:pPr>
              <w:pStyle w:val="ListParagraph"/>
              <w:ind w:left="0"/>
              <w:rPr>
                <w:rFonts w:ascii="Calibri" w:hAnsi="Calibri" w:cs="Calibri"/>
              </w:rPr>
            </w:pPr>
            <w:r w:rsidRPr="0024497F">
              <w:rPr>
                <w:rFonts w:ascii="Calibri" w:hAnsi="Calibri" w:cs="Calibri"/>
              </w:rPr>
              <w:t>Unknown Injury</w:t>
            </w:r>
          </w:p>
        </w:tc>
        <w:tc>
          <w:tcPr>
            <w:tcW w:w="1739" w:type="dxa"/>
            <w:vAlign w:val="bottom"/>
          </w:tcPr>
          <w:p w14:paraId="607215AA" w14:textId="2CB3E92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948" w:type="dxa"/>
            <w:vAlign w:val="bottom"/>
          </w:tcPr>
          <w:p w14:paraId="13B60B4E" w14:textId="6782749B"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9" w:type="dxa"/>
            <w:vAlign w:val="bottom"/>
          </w:tcPr>
          <w:p w14:paraId="49DC5C11" w14:textId="739B76F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847" w:type="dxa"/>
            <w:vAlign w:val="bottom"/>
          </w:tcPr>
          <w:p w14:paraId="25C4E2E0" w14:textId="628CFB7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847" w:type="dxa"/>
            <w:vAlign w:val="bottom"/>
          </w:tcPr>
          <w:p w14:paraId="0D407808" w14:textId="185AFDEA"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854" w:type="dxa"/>
            <w:vAlign w:val="bottom"/>
          </w:tcPr>
          <w:p w14:paraId="7D497769" w14:textId="6B9F0CEA"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0.2</w:t>
            </w:r>
          </w:p>
        </w:tc>
      </w:tr>
    </w:tbl>
    <w:p w14:paraId="1C60AA11" w14:textId="77777777" w:rsidR="00EB78E1" w:rsidRDefault="00EB78E1" w:rsidP="00EB78E1"/>
    <w:p w14:paraId="71CFC455" w14:textId="77777777" w:rsidR="00EB78E1" w:rsidRDefault="00EB78E1" w:rsidP="00EB78E1"/>
    <w:p w14:paraId="658F96EB" w14:textId="77777777" w:rsidR="00EB78E1" w:rsidRDefault="00EB78E1" w:rsidP="00EB78E1"/>
    <w:p w14:paraId="49B6A354" w14:textId="77777777" w:rsidR="00EB78E1" w:rsidRDefault="00EB78E1" w:rsidP="00EB78E1"/>
    <w:p w14:paraId="43690087" w14:textId="75B772BE" w:rsidR="00EB78E1" w:rsidRPr="0024497F" w:rsidRDefault="00EB78E1" w:rsidP="00EB78E1">
      <w:pPr>
        <w:pStyle w:val="Caption"/>
        <w:spacing w:after="0"/>
      </w:pPr>
      <w:r w:rsidRPr="0024497F">
        <w:rPr>
          <w:b/>
          <w:bCs/>
        </w:rPr>
        <w:lastRenderedPageBreak/>
        <w:t xml:space="preserve">Table </w:t>
      </w:r>
      <w:r w:rsidRPr="0024497F">
        <w:rPr>
          <w:b/>
          <w:bCs/>
        </w:rPr>
        <w:fldChar w:fldCharType="begin"/>
      </w:r>
      <w:r w:rsidRPr="0024497F">
        <w:rPr>
          <w:b/>
          <w:bCs/>
        </w:rPr>
        <w:instrText xml:space="preserve"> SEQ Table \* ARABIC </w:instrText>
      </w:r>
      <w:r w:rsidRPr="0024497F">
        <w:rPr>
          <w:b/>
          <w:bCs/>
        </w:rPr>
        <w:fldChar w:fldCharType="separate"/>
      </w:r>
      <w:r w:rsidR="00A927CD">
        <w:rPr>
          <w:b/>
          <w:bCs/>
          <w:noProof/>
        </w:rPr>
        <w:t>17</w:t>
      </w:r>
      <w:r w:rsidRPr="0024497F">
        <w:rPr>
          <w:b/>
          <w:bCs/>
        </w:rPr>
        <w:fldChar w:fldCharType="end"/>
      </w:r>
      <w:r w:rsidRPr="0024497F">
        <w:rPr>
          <w:b/>
          <w:bCs/>
        </w:rPr>
        <w:t>.</w:t>
      </w:r>
      <w:r w:rsidRPr="0024497F">
        <w:t xml:space="preserve"> </w:t>
      </w:r>
      <w:r>
        <w:t xml:space="preserve">Bicycle </w:t>
      </w:r>
      <w:r w:rsidRPr="001C0301">
        <w:t xml:space="preserve">Countermeasure #1 - </w:t>
      </w:r>
      <w:r w:rsidRPr="00BB6D3A">
        <w:t xml:space="preserve">Buffered bicycle lane on </w:t>
      </w:r>
      <w:r w:rsidR="005C7B21">
        <w:t>4</w:t>
      </w:r>
      <w:r w:rsidRPr="00BB6D3A">
        <w:t>-lane roads</w:t>
      </w:r>
    </w:p>
    <w:tbl>
      <w:tblPr>
        <w:tblStyle w:val="TGCCenterAlignment"/>
        <w:tblW w:w="12950" w:type="dxa"/>
        <w:tblLayout w:type="fixed"/>
        <w:tblLook w:val="04A0" w:firstRow="1" w:lastRow="0" w:firstColumn="1" w:lastColumn="0" w:noHBand="0" w:noVBand="1"/>
      </w:tblPr>
      <w:tblGrid>
        <w:gridCol w:w="1795"/>
        <w:gridCol w:w="1710"/>
        <w:gridCol w:w="1440"/>
        <w:gridCol w:w="1710"/>
        <w:gridCol w:w="1530"/>
        <w:gridCol w:w="1521"/>
        <w:gridCol w:w="1622"/>
        <w:gridCol w:w="1622"/>
      </w:tblGrid>
      <w:tr w:rsidR="00EB78E1" w:rsidRPr="0024497F" w14:paraId="2B4D3504" w14:textId="77777777" w:rsidTr="00172BBD">
        <w:trPr>
          <w:cnfStyle w:val="100000000000" w:firstRow="1" w:lastRow="0" w:firstColumn="0" w:lastColumn="0" w:oddVBand="0" w:evenVBand="0" w:oddHBand="0" w:evenHBand="0" w:firstRowFirstColumn="0" w:firstRowLastColumn="0" w:lastRowFirstColumn="0" w:lastRowLastColumn="0"/>
          <w:trHeight w:val="372"/>
        </w:trPr>
        <w:tc>
          <w:tcPr>
            <w:cnfStyle w:val="001000000100" w:firstRow="0" w:lastRow="0" w:firstColumn="1" w:lastColumn="0" w:oddVBand="0" w:evenVBand="0" w:oddHBand="0" w:evenHBand="0" w:firstRowFirstColumn="1" w:firstRowLastColumn="0" w:lastRowFirstColumn="0" w:lastRowLastColumn="0"/>
            <w:tcW w:w="1795" w:type="dxa"/>
            <w:vMerge w:val="restart"/>
          </w:tcPr>
          <w:p w14:paraId="2E461748" w14:textId="77777777" w:rsidR="00EB78E1" w:rsidRPr="0024497F" w:rsidRDefault="00EB78E1" w:rsidP="00172BBD">
            <w:pPr>
              <w:pStyle w:val="ListParagraph"/>
              <w:ind w:left="0"/>
              <w:rPr>
                <w:rFonts w:ascii="Calibri" w:hAnsi="Calibri" w:cs="Calibri"/>
                <w:bCs w:val="0"/>
              </w:rPr>
            </w:pPr>
            <w:r w:rsidRPr="0024497F">
              <w:rPr>
                <w:rFonts w:ascii="Calibri" w:hAnsi="Calibri" w:cs="Calibri"/>
                <w:bCs w:val="0"/>
              </w:rPr>
              <w:t>Injury</w:t>
            </w:r>
          </w:p>
        </w:tc>
        <w:tc>
          <w:tcPr>
            <w:tcW w:w="11155" w:type="dxa"/>
            <w:gridSpan w:val="7"/>
          </w:tcPr>
          <w:p w14:paraId="51F7EFA2" w14:textId="3123182A" w:rsidR="00EB78E1"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 xml:space="preserve">Bicycle </w:t>
            </w:r>
            <w:r w:rsidRPr="001C0301">
              <w:t xml:space="preserve">Countermeasure #1 - </w:t>
            </w:r>
            <w:r w:rsidRPr="00BB6D3A">
              <w:t xml:space="preserve">Buffered bicycle lane on </w:t>
            </w:r>
            <w:r w:rsidR="005C7B21">
              <w:t>4</w:t>
            </w:r>
            <w:r w:rsidRPr="00BB6D3A">
              <w:t>-lane roads</w:t>
            </w:r>
          </w:p>
          <w:p w14:paraId="2FB108D2" w14:textId="77777777" w:rsidR="00EB78E1" w:rsidRPr="00596FCB"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pPr>
            <w:r>
              <w:t>Reduction Factor: 63%</w:t>
            </w:r>
          </w:p>
          <w:p w14:paraId="35AC3A81" w14:textId="77777777" w:rsidR="00EB78E1" w:rsidRDefault="00EB78E1" w:rsidP="00172BBD">
            <w:pPr>
              <w:pStyle w:val="ListParagraph"/>
              <w:ind w:left="0"/>
              <w:cnfStyle w:val="100000000000" w:firstRow="1" w:lastRow="0" w:firstColumn="0" w:lastColumn="0" w:oddVBand="0" w:evenVBand="0" w:oddHBand="0" w:evenHBand="0" w:firstRowFirstColumn="0" w:firstRowLastColumn="0" w:lastRowFirstColumn="0" w:lastRowLastColumn="0"/>
            </w:pPr>
            <w:r>
              <w:t>Service Life: 20 Years</w:t>
            </w:r>
          </w:p>
        </w:tc>
      </w:tr>
      <w:tr w:rsidR="00EB78E1" w:rsidRPr="0024497F" w14:paraId="478ABBDF"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vMerge/>
            <w:tcBorders>
              <w:bottom w:val="single" w:sz="4" w:space="0" w:color="5B9BD5"/>
            </w:tcBorders>
            <w:shd w:val="clear" w:color="auto" w:fill="002775" w:themeFill="accent1"/>
          </w:tcPr>
          <w:p w14:paraId="4BF79F3D" w14:textId="77777777" w:rsidR="00EB78E1" w:rsidRPr="0024497F" w:rsidRDefault="00EB78E1" w:rsidP="00172BBD">
            <w:pPr>
              <w:pStyle w:val="ListParagraph"/>
              <w:ind w:left="0"/>
              <w:rPr>
                <w:rFonts w:ascii="Calibri" w:hAnsi="Calibri" w:cs="Calibri"/>
                <w:b/>
                <w:color w:val="FFFFFF" w:themeColor="background1"/>
              </w:rPr>
            </w:pPr>
          </w:p>
        </w:tc>
        <w:tc>
          <w:tcPr>
            <w:tcW w:w="1710" w:type="dxa"/>
            <w:tcBorders>
              <w:bottom w:val="single" w:sz="4" w:space="0" w:color="5B9BD5"/>
            </w:tcBorders>
            <w:shd w:val="clear" w:color="auto" w:fill="002775" w:themeFill="accent1"/>
          </w:tcPr>
          <w:p w14:paraId="75A4B741"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2019</w:t>
            </w:r>
          </w:p>
        </w:tc>
        <w:tc>
          <w:tcPr>
            <w:tcW w:w="1440" w:type="dxa"/>
            <w:tcBorders>
              <w:bottom w:val="single" w:sz="4" w:space="0" w:color="5B9BD5"/>
            </w:tcBorders>
            <w:shd w:val="clear" w:color="auto" w:fill="002775" w:themeFill="accent1"/>
          </w:tcPr>
          <w:p w14:paraId="4B173F7C"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2020</w:t>
            </w:r>
          </w:p>
        </w:tc>
        <w:tc>
          <w:tcPr>
            <w:tcW w:w="1710" w:type="dxa"/>
            <w:tcBorders>
              <w:bottom w:val="single" w:sz="4" w:space="0" w:color="5B9BD5"/>
            </w:tcBorders>
            <w:shd w:val="clear" w:color="auto" w:fill="002775" w:themeFill="accent1"/>
          </w:tcPr>
          <w:p w14:paraId="55EB5016" w14:textId="77777777" w:rsidR="00EB78E1" w:rsidRPr="0024497F"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2021</w:t>
            </w:r>
          </w:p>
        </w:tc>
        <w:tc>
          <w:tcPr>
            <w:tcW w:w="1530" w:type="dxa"/>
            <w:tcBorders>
              <w:bottom w:val="single" w:sz="4" w:space="0" w:color="5B9BD5"/>
            </w:tcBorders>
            <w:shd w:val="clear" w:color="auto" w:fill="002775" w:themeFill="accent1"/>
          </w:tcPr>
          <w:p w14:paraId="3F6C463E"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rPr>
              <w:t>2022</w:t>
            </w:r>
          </w:p>
        </w:tc>
        <w:tc>
          <w:tcPr>
            <w:tcW w:w="1521" w:type="dxa"/>
            <w:tcBorders>
              <w:bottom w:val="single" w:sz="4" w:space="0" w:color="5B9BD5"/>
            </w:tcBorders>
            <w:shd w:val="clear" w:color="auto" w:fill="002775" w:themeFill="accent1"/>
          </w:tcPr>
          <w:p w14:paraId="37CF81BB"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2023</w:t>
            </w:r>
          </w:p>
        </w:tc>
        <w:tc>
          <w:tcPr>
            <w:tcW w:w="1622" w:type="dxa"/>
            <w:tcBorders>
              <w:bottom w:val="single" w:sz="4" w:space="0" w:color="5B9BD5"/>
            </w:tcBorders>
            <w:shd w:val="clear" w:color="auto" w:fill="002775" w:themeFill="accent1"/>
          </w:tcPr>
          <w:p w14:paraId="2EB0A82B"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4A304D2A" w14:textId="77777777" w:rsidR="00EB78E1" w:rsidRPr="008007CE"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(No-Build)</w:t>
            </w:r>
          </w:p>
        </w:tc>
        <w:tc>
          <w:tcPr>
            <w:tcW w:w="1622" w:type="dxa"/>
            <w:tcBorders>
              <w:bottom w:val="single" w:sz="4" w:space="0" w:color="5B9BD5"/>
            </w:tcBorders>
            <w:shd w:val="clear" w:color="auto" w:fill="002775" w:themeFill="accent1"/>
          </w:tcPr>
          <w:p w14:paraId="3A0D3267"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Pr>
                <w:rFonts w:ascii="Calibri" w:hAnsi="Calibri" w:cs="Calibri"/>
                <w:b/>
                <w:bCs/>
                <w:color w:val="FFFFFF" w:themeColor="background1"/>
              </w:rPr>
              <w:t>Average</w:t>
            </w:r>
          </w:p>
          <w:p w14:paraId="275373B5" w14:textId="77777777" w:rsidR="00EB78E1" w:rsidRDefault="00EB78E1" w:rsidP="00172BBD">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b/>
                <w:bCs/>
                <w:color w:val="FFFFFF" w:themeColor="background1"/>
              </w:rPr>
            </w:pPr>
            <w:r>
              <w:rPr>
                <w:rFonts w:ascii="Calibri" w:hAnsi="Calibri" w:cs="Calibri"/>
                <w:b/>
                <w:bCs/>
                <w:color w:val="FFFFFF" w:themeColor="background1"/>
              </w:rPr>
              <w:t>(Build)</w:t>
            </w:r>
          </w:p>
        </w:tc>
      </w:tr>
      <w:tr w:rsidR="00605572" w:rsidRPr="0024497F" w14:paraId="050F8FDB"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bottom w:val="single" w:sz="4" w:space="0" w:color="5B9BD5"/>
            </w:tcBorders>
          </w:tcPr>
          <w:p w14:paraId="3056410A" w14:textId="77777777" w:rsidR="00605572" w:rsidRPr="0024497F" w:rsidRDefault="00605572" w:rsidP="00605572">
            <w:pPr>
              <w:pStyle w:val="ListParagraph"/>
              <w:ind w:left="0"/>
              <w:rPr>
                <w:rFonts w:ascii="Calibri" w:hAnsi="Calibri" w:cs="Calibri"/>
              </w:rPr>
            </w:pPr>
            <w:r w:rsidRPr="0024497F">
              <w:rPr>
                <w:rFonts w:ascii="Calibri" w:hAnsi="Calibri" w:cs="Calibri"/>
              </w:rPr>
              <w:t>Non-Injury</w:t>
            </w:r>
          </w:p>
        </w:tc>
        <w:tc>
          <w:tcPr>
            <w:tcW w:w="1710" w:type="dxa"/>
            <w:tcBorders>
              <w:top w:val="single" w:sz="4" w:space="0" w:color="5B9BD5"/>
              <w:bottom w:val="single" w:sz="4" w:space="0" w:color="5B9BD5"/>
            </w:tcBorders>
            <w:vAlign w:val="bottom"/>
          </w:tcPr>
          <w:p w14:paraId="7809ED1A" w14:textId="256E29C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tcBorders>
              <w:top w:val="single" w:sz="4" w:space="0" w:color="5B9BD5"/>
              <w:bottom w:val="single" w:sz="4" w:space="0" w:color="5B9BD5"/>
            </w:tcBorders>
            <w:vAlign w:val="bottom"/>
          </w:tcPr>
          <w:p w14:paraId="2FDA01CC" w14:textId="7EFCBAA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tcBorders>
              <w:top w:val="single" w:sz="4" w:space="0" w:color="5B9BD5"/>
              <w:bottom w:val="single" w:sz="4" w:space="0" w:color="5B9BD5"/>
            </w:tcBorders>
            <w:vAlign w:val="bottom"/>
          </w:tcPr>
          <w:p w14:paraId="5983B29E" w14:textId="402C13B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2</w:t>
            </w:r>
          </w:p>
        </w:tc>
        <w:tc>
          <w:tcPr>
            <w:tcW w:w="1530" w:type="dxa"/>
            <w:tcBorders>
              <w:top w:val="single" w:sz="4" w:space="0" w:color="5B9BD5"/>
              <w:bottom w:val="single" w:sz="4" w:space="0" w:color="5B9BD5"/>
            </w:tcBorders>
            <w:vAlign w:val="bottom"/>
          </w:tcPr>
          <w:p w14:paraId="2C684A7D" w14:textId="2537FAA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Borders>
              <w:top w:val="single" w:sz="4" w:space="0" w:color="5B9BD5"/>
              <w:bottom w:val="single" w:sz="4" w:space="0" w:color="5B9BD5"/>
            </w:tcBorders>
            <w:vAlign w:val="bottom"/>
          </w:tcPr>
          <w:p w14:paraId="37FE7740" w14:textId="34AEB7E7"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13</w:t>
            </w:r>
          </w:p>
        </w:tc>
        <w:tc>
          <w:tcPr>
            <w:tcW w:w="1622" w:type="dxa"/>
            <w:tcBorders>
              <w:top w:val="single" w:sz="4" w:space="0" w:color="5B9BD5"/>
              <w:bottom w:val="single" w:sz="4" w:space="0" w:color="5B9BD5"/>
            </w:tcBorders>
            <w:vAlign w:val="bottom"/>
          </w:tcPr>
          <w:p w14:paraId="3831A3EC" w14:textId="677AEF41"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3.2</w:t>
            </w:r>
          </w:p>
        </w:tc>
        <w:tc>
          <w:tcPr>
            <w:tcW w:w="1622" w:type="dxa"/>
            <w:tcBorders>
              <w:top w:val="single" w:sz="4" w:space="0" w:color="5B9BD5"/>
              <w:bottom w:val="single" w:sz="4" w:space="0" w:color="5B9BD5"/>
            </w:tcBorders>
            <w:vAlign w:val="bottom"/>
          </w:tcPr>
          <w:p w14:paraId="636A6E1F" w14:textId="2284557C"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1.2</w:t>
            </w:r>
          </w:p>
        </w:tc>
      </w:tr>
      <w:tr w:rsidR="00605572" w:rsidRPr="0024497F" w14:paraId="7B56F809"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Borders>
              <w:top w:val="single" w:sz="4" w:space="0" w:color="5B9BD5"/>
            </w:tcBorders>
          </w:tcPr>
          <w:p w14:paraId="410E69F3" w14:textId="77777777" w:rsidR="00605572" w:rsidRPr="0024497F" w:rsidRDefault="00605572" w:rsidP="00605572">
            <w:pPr>
              <w:pStyle w:val="ListParagraph"/>
              <w:ind w:left="0"/>
            </w:pPr>
            <w:r w:rsidRPr="0024497F">
              <w:rPr>
                <w:rFonts w:ascii="Calibri" w:hAnsi="Calibri" w:cs="Calibri"/>
              </w:rPr>
              <w:t>Possible Injury</w:t>
            </w:r>
          </w:p>
        </w:tc>
        <w:tc>
          <w:tcPr>
            <w:tcW w:w="1710" w:type="dxa"/>
            <w:tcBorders>
              <w:top w:val="single" w:sz="4" w:space="0" w:color="5B9BD5"/>
            </w:tcBorders>
            <w:vAlign w:val="bottom"/>
          </w:tcPr>
          <w:p w14:paraId="61035B41" w14:textId="5299428E"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tcBorders>
              <w:top w:val="single" w:sz="4" w:space="0" w:color="5B9BD5"/>
            </w:tcBorders>
            <w:vAlign w:val="bottom"/>
          </w:tcPr>
          <w:p w14:paraId="58D0AD7F" w14:textId="49660901"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tcBorders>
              <w:top w:val="single" w:sz="4" w:space="0" w:color="5B9BD5"/>
            </w:tcBorders>
            <w:vAlign w:val="bottom"/>
          </w:tcPr>
          <w:p w14:paraId="589CB5A8" w14:textId="0BCE93B3"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tcBorders>
              <w:top w:val="single" w:sz="4" w:space="0" w:color="5B9BD5"/>
            </w:tcBorders>
            <w:vAlign w:val="bottom"/>
          </w:tcPr>
          <w:p w14:paraId="0EF1C3AD" w14:textId="4DFDDE2B"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521" w:type="dxa"/>
            <w:tcBorders>
              <w:top w:val="single" w:sz="4" w:space="0" w:color="5B9BD5"/>
            </w:tcBorders>
            <w:vAlign w:val="bottom"/>
          </w:tcPr>
          <w:p w14:paraId="6BEC8EEC" w14:textId="1B0E7B7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tcBorders>
              <w:top w:val="single" w:sz="4" w:space="0" w:color="5B9BD5"/>
            </w:tcBorders>
            <w:vAlign w:val="bottom"/>
          </w:tcPr>
          <w:p w14:paraId="6D33F416" w14:textId="0913FF4C"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0.4</w:t>
            </w:r>
          </w:p>
        </w:tc>
        <w:tc>
          <w:tcPr>
            <w:tcW w:w="1622" w:type="dxa"/>
            <w:tcBorders>
              <w:top w:val="single" w:sz="4" w:space="0" w:color="5B9BD5"/>
            </w:tcBorders>
            <w:vAlign w:val="bottom"/>
          </w:tcPr>
          <w:p w14:paraId="7D27CFAC" w14:textId="29EEBE26"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0.1</w:t>
            </w:r>
          </w:p>
        </w:tc>
      </w:tr>
      <w:tr w:rsidR="00605572" w:rsidRPr="0024497F" w14:paraId="08EFBFE1"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52766987" w14:textId="77777777" w:rsidR="00605572" w:rsidRPr="0024497F" w:rsidRDefault="00605572" w:rsidP="00605572">
            <w:pPr>
              <w:pStyle w:val="ListParagraph"/>
              <w:ind w:left="0"/>
              <w:rPr>
                <w:rFonts w:ascii="Calibri" w:hAnsi="Calibri" w:cs="Calibri"/>
              </w:rPr>
            </w:pPr>
            <w:r w:rsidRPr="0024497F">
              <w:rPr>
                <w:rFonts w:ascii="Calibri" w:hAnsi="Calibri" w:cs="Calibri"/>
              </w:rPr>
              <w:t>Non-</w:t>
            </w:r>
            <w:proofErr w:type="spellStart"/>
            <w:r w:rsidRPr="0024497F">
              <w:rPr>
                <w:rFonts w:ascii="Calibri" w:hAnsi="Calibri" w:cs="Calibri"/>
              </w:rPr>
              <w:t>Incap</w:t>
            </w:r>
            <w:proofErr w:type="spellEnd"/>
            <w:r w:rsidRPr="0024497F">
              <w:rPr>
                <w:rFonts w:ascii="Calibri" w:hAnsi="Calibri" w:cs="Calibri"/>
              </w:rPr>
              <w:t>. Injury</w:t>
            </w:r>
          </w:p>
        </w:tc>
        <w:tc>
          <w:tcPr>
            <w:tcW w:w="1710" w:type="dxa"/>
            <w:vAlign w:val="bottom"/>
          </w:tcPr>
          <w:p w14:paraId="23BB4E6A" w14:textId="2259F75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63BC0156" w14:textId="5AF81DD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3E8C2F5C" w14:textId="77EF5390"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1</w:t>
            </w:r>
          </w:p>
        </w:tc>
        <w:tc>
          <w:tcPr>
            <w:tcW w:w="1530" w:type="dxa"/>
            <w:vAlign w:val="bottom"/>
          </w:tcPr>
          <w:p w14:paraId="2301C493" w14:textId="5DBE2C64"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15DF0150" w14:textId="6F74F71A"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27421F99" w14:textId="18583367"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0.4</w:t>
            </w:r>
          </w:p>
        </w:tc>
        <w:tc>
          <w:tcPr>
            <w:tcW w:w="1622" w:type="dxa"/>
            <w:vAlign w:val="bottom"/>
          </w:tcPr>
          <w:p w14:paraId="2EC2F9A3" w14:textId="6A577C7B"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0.1</w:t>
            </w:r>
          </w:p>
        </w:tc>
      </w:tr>
      <w:tr w:rsidR="00605572" w:rsidRPr="0024497F" w14:paraId="44B933C2"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70A0D029" w14:textId="77777777" w:rsidR="00605572" w:rsidRPr="0024497F" w:rsidRDefault="00605572" w:rsidP="00605572">
            <w:pPr>
              <w:pStyle w:val="ListParagraph"/>
              <w:ind w:left="0"/>
              <w:rPr>
                <w:rFonts w:ascii="Calibri" w:hAnsi="Calibri" w:cs="Calibri"/>
              </w:rPr>
            </w:pPr>
            <w:r w:rsidRPr="0024497F">
              <w:rPr>
                <w:rFonts w:ascii="Calibri" w:hAnsi="Calibri" w:cs="Calibri"/>
              </w:rPr>
              <w:t>Serious Injury</w:t>
            </w:r>
          </w:p>
        </w:tc>
        <w:tc>
          <w:tcPr>
            <w:tcW w:w="1710" w:type="dxa"/>
            <w:vAlign w:val="bottom"/>
          </w:tcPr>
          <w:p w14:paraId="645EA24A" w14:textId="367E06EB"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D84D238" w14:textId="68E269C6"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0B815FF3" w14:textId="2467396D"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7D4AAA31" w14:textId="184E8B55"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34700D7E" w14:textId="018D045F"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49C25FA2" w14:textId="444125A7"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0.0</w:t>
            </w:r>
          </w:p>
        </w:tc>
        <w:tc>
          <w:tcPr>
            <w:tcW w:w="1622" w:type="dxa"/>
            <w:vAlign w:val="bottom"/>
          </w:tcPr>
          <w:p w14:paraId="40DBA0EB" w14:textId="5EFD6801"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182BBA6E" w14:textId="77777777" w:rsidTr="00172BBD">
        <w:trPr>
          <w:cnfStyle w:val="000000010000" w:firstRow="0" w:lastRow="0" w:firstColumn="0" w:lastColumn="0" w:oddVBand="0" w:evenVBand="0" w:oddHBand="0" w:evenHBand="1"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100371E5" w14:textId="77777777" w:rsidR="00605572" w:rsidRPr="0024497F" w:rsidRDefault="00605572" w:rsidP="00605572">
            <w:pPr>
              <w:pStyle w:val="ListParagraph"/>
              <w:ind w:left="0"/>
              <w:rPr>
                <w:rFonts w:ascii="Calibri" w:hAnsi="Calibri" w:cs="Calibri"/>
              </w:rPr>
            </w:pPr>
            <w:r w:rsidRPr="0024497F">
              <w:rPr>
                <w:rFonts w:ascii="Calibri" w:hAnsi="Calibri" w:cs="Calibri"/>
              </w:rPr>
              <w:t>Fatality</w:t>
            </w:r>
          </w:p>
        </w:tc>
        <w:tc>
          <w:tcPr>
            <w:tcW w:w="1710" w:type="dxa"/>
            <w:vAlign w:val="bottom"/>
          </w:tcPr>
          <w:p w14:paraId="6F351E8D" w14:textId="1FDCC0F2"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63E2088C" w14:textId="7E858A4A"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716ED07A" w14:textId="6A51CE99"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4340CE8F" w14:textId="5C2CF96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28410FB4" w14:textId="0B252AC0"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0</w:t>
            </w:r>
          </w:p>
        </w:tc>
        <w:tc>
          <w:tcPr>
            <w:tcW w:w="1622" w:type="dxa"/>
            <w:vAlign w:val="bottom"/>
          </w:tcPr>
          <w:p w14:paraId="6304385E" w14:textId="288003E8"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0.0</w:t>
            </w:r>
          </w:p>
        </w:tc>
        <w:tc>
          <w:tcPr>
            <w:tcW w:w="1622" w:type="dxa"/>
            <w:vAlign w:val="bottom"/>
          </w:tcPr>
          <w:p w14:paraId="33F34F08" w14:textId="15A2B96F" w:rsidR="00605572" w:rsidRPr="005F6A8D" w:rsidRDefault="00605572" w:rsidP="00605572">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i/>
                <w:iCs/>
                <w:color w:val="000000"/>
              </w:rPr>
              <w:t>0.0</w:t>
            </w:r>
          </w:p>
        </w:tc>
      </w:tr>
      <w:tr w:rsidR="00605572" w:rsidRPr="0024497F" w14:paraId="16D3A730" w14:textId="77777777" w:rsidTr="00172BBD">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795" w:type="dxa"/>
          </w:tcPr>
          <w:p w14:paraId="609BBD3D" w14:textId="77777777" w:rsidR="00605572" w:rsidRPr="0024497F" w:rsidRDefault="00605572" w:rsidP="00605572">
            <w:pPr>
              <w:pStyle w:val="ListParagraph"/>
              <w:ind w:left="0"/>
              <w:rPr>
                <w:rFonts w:ascii="Calibri" w:hAnsi="Calibri" w:cs="Calibri"/>
              </w:rPr>
            </w:pPr>
            <w:r w:rsidRPr="0024497F">
              <w:rPr>
                <w:rFonts w:ascii="Calibri" w:hAnsi="Calibri" w:cs="Calibri"/>
              </w:rPr>
              <w:t>Unknown Injury</w:t>
            </w:r>
          </w:p>
        </w:tc>
        <w:tc>
          <w:tcPr>
            <w:tcW w:w="1710" w:type="dxa"/>
            <w:vAlign w:val="bottom"/>
          </w:tcPr>
          <w:p w14:paraId="51B7BE9A" w14:textId="74B2D8B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440" w:type="dxa"/>
            <w:vAlign w:val="bottom"/>
          </w:tcPr>
          <w:p w14:paraId="1117F3F0" w14:textId="1F1CB5F0"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710" w:type="dxa"/>
            <w:vAlign w:val="bottom"/>
          </w:tcPr>
          <w:p w14:paraId="5EF5F76E" w14:textId="6251A6DD"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rPr>
            </w:pPr>
            <w:r>
              <w:rPr>
                <w:rFonts w:ascii="Calibri" w:hAnsi="Calibri" w:cs="Calibri"/>
                <w:color w:val="000000"/>
              </w:rPr>
              <w:t>0</w:t>
            </w:r>
          </w:p>
        </w:tc>
        <w:tc>
          <w:tcPr>
            <w:tcW w:w="1530" w:type="dxa"/>
            <w:vAlign w:val="bottom"/>
          </w:tcPr>
          <w:p w14:paraId="1D222E79" w14:textId="23D04DAF"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0</w:t>
            </w:r>
          </w:p>
        </w:tc>
        <w:tc>
          <w:tcPr>
            <w:tcW w:w="1521" w:type="dxa"/>
            <w:vAlign w:val="bottom"/>
          </w:tcPr>
          <w:p w14:paraId="435DA6EE" w14:textId="1C053888"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p>
        </w:tc>
        <w:tc>
          <w:tcPr>
            <w:tcW w:w="1622" w:type="dxa"/>
            <w:vAlign w:val="bottom"/>
          </w:tcPr>
          <w:p w14:paraId="7AD9E388" w14:textId="04818A69"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0.2</w:t>
            </w:r>
          </w:p>
        </w:tc>
        <w:tc>
          <w:tcPr>
            <w:tcW w:w="1622" w:type="dxa"/>
            <w:vAlign w:val="bottom"/>
          </w:tcPr>
          <w:p w14:paraId="13FAC7E7" w14:textId="511CC054" w:rsidR="00605572" w:rsidRPr="005F6A8D" w:rsidRDefault="00605572" w:rsidP="00605572">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
                <w:iCs/>
                <w:color w:val="000000"/>
              </w:rPr>
              <w:t>0.1</w:t>
            </w:r>
          </w:p>
        </w:tc>
      </w:tr>
    </w:tbl>
    <w:p w14:paraId="4D318FB6" w14:textId="77777777" w:rsidR="00EB78E1" w:rsidRDefault="00EB78E1" w:rsidP="00EB78E1">
      <w:pPr>
        <w:pStyle w:val="Caption"/>
        <w:spacing w:after="0"/>
        <w:rPr>
          <w:b/>
          <w:bCs/>
        </w:rPr>
      </w:pPr>
    </w:p>
    <w:p w14:paraId="6AC291DA" w14:textId="77777777" w:rsidR="00EB78E1" w:rsidRDefault="00EB78E1" w:rsidP="00EB78E1">
      <w:pPr>
        <w:pStyle w:val="Caption"/>
        <w:spacing w:after="0"/>
        <w:rPr>
          <w:b/>
          <w:bCs/>
        </w:rPr>
        <w:sectPr w:rsidR="00EB78E1" w:rsidSect="00EB78E1">
          <w:pgSz w:w="15840" w:h="12240" w:orient="landscape"/>
          <w:pgMar w:top="1440" w:right="1440" w:bottom="1440" w:left="1440" w:header="0" w:footer="576" w:gutter="0"/>
          <w:cols w:space="720"/>
          <w:docGrid w:linePitch="360"/>
        </w:sectPr>
      </w:pPr>
    </w:p>
    <w:p w14:paraId="7247C222" w14:textId="21FED384" w:rsidR="009E7D7C" w:rsidRPr="000B5AE9" w:rsidRDefault="009E7D7C" w:rsidP="009E7D7C">
      <w:pPr>
        <w:pStyle w:val="Caption"/>
        <w:spacing w:after="0"/>
      </w:pPr>
      <w:r w:rsidRPr="000B5AE9">
        <w:rPr>
          <w:b/>
          <w:bCs/>
        </w:rPr>
        <w:lastRenderedPageBreak/>
        <w:t xml:space="preserve">Table </w:t>
      </w:r>
      <w:r w:rsidRPr="000B5AE9">
        <w:rPr>
          <w:b/>
          <w:bCs/>
        </w:rPr>
        <w:fldChar w:fldCharType="begin"/>
      </w:r>
      <w:r w:rsidRPr="000B5AE9">
        <w:rPr>
          <w:b/>
          <w:bCs/>
        </w:rPr>
        <w:instrText xml:space="preserve"> SEQ Table \* ARABIC </w:instrText>
      </w:r>
      <w:r w:rsidRPr="000B5AE9">
        <w:rPr>
          <w:b/>
          <w:bCs/>
        </w:rPr>
        <w:fldChar w:fldCharType="separate"/>
      </w:r>
      <w:r w:rsidR="00A927CD">
        <w:rPr>
          <w:b/>
          <w:bCs/>
          <w:noProof/>
        </w:rPr>
        <w:t>18</w:t>
      </w:r>
      <w:r w:rsidRPr="000B5AE9">
        <w:rPr>
          <w:b/>
          <w:bCs/>
        </w:rPr>
        <w:fldChar w:fldCharType="end"/>
      </w:r>
      <w:r w:rsidRPr="000B5AE9">
        <w:rPr>
          <w:b/>
          <w:bCs/>
        </w:rPr>
        <w:t>.</w:t>
      </w:r>
      <w:r w:rsidRPr="000B5AE9">
        <w:t xml:space="preserve"> Safety </w:t>
      </w:r>
      <w:r w:rsidR="008705E4" w:rsidRPr="000B5AE9">
        <w:t>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A20918" w:rsidRPr="000B5AE9" w14:paraId="5295AE2A"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394DF6AC" w14:textId="170A59AC" w:rsidR="00A20918" w:rsidRPr="000B5AE9" w:rsidRDefault="00A20918">
            <w:pPr>
              <w:pStyle w:val="ListParagraph"/>
              <w:ind w:left="0"/>
              <w:rPr>
                <w:b w:val="0"/>
                <w:bCs w:val="0"/>
              </w:rPr>
            </w:pPr>
            <w:r w:rsidRPr="000B5AE9">
              <w:t>Motorist Safety Calculation</w:t>
            </w:r>
          </w:p>
        </w:tc>
        <w:tc>
          <w:tcPr>
            <w:tcW w:w="1710" w:type="dxa"/>
          </w:tcPr>
          <w:p w14:paraId="7EFD0058" w14:textId="77777777" w:rsidR="00A20918" w:rsidRPr="000B5AE9" w:rsidRDefault="00A20918">
            <w:pPr>
              <w:pStyle w:val="ListParagraph"/>
              <w:ind w:left="0"/>
              <w:cnfStyle w:val="100000000000" w:firstRow="1" w:lastRow="0" w:firstColumn="0" w:lastColumn="0" w:oddVBand="0" w:evenVBand="0" w:oddHBand="0" w:evenHBand="0" w:firstRowFirstColumn="0" w:firstRowLastColumn="0" w:lastRowFirstColumn="0" w:lastRowLastColumn="0"/>
            </w:pPr>
            <w:r w:rsidRPr="000B5AE9">
              <w:t>No Build</w:t>
            </w:r>
          </w:p>
        </w:tc>
        <w:tc>
          <w:tcPr>
            <w:tcW w:w="1885" w:type="dxa"/>
          </w:tcPr>
          <w:p w14:paraId="4B032455" w14:textId="77777777" w:rsidR="00A20918" w:rsidRPr="000B5AE9" w:rsidRDefault="00A20918">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rsidRPr="000B5AE9">
              <w:t>Build</w:t>
            </w:r>
          </w:p>
        </w:tc>
      </w:tr>
      <w:tr w:rsidR="00536BA9" w:rsidRPr="000B5AE9" w14:paraId="681B6A0A" w14:textId="77777777" w:rsidTr="007613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53476091" w14:textId="321D867B" w:rsidR="00536BA9" w:rsidRPr="000B5AE9" w:rsidRDefault="00536BA9" w:rsidP="00536BA9">
            <w:pPr>
              <w:pStyle w:val="ListParagraph"/>
              <w:ind w:left="0"/>
            </w:pPr>
            <w:r>
              <w:rPr>
                <w:rFonts w:ascii="Calibri" w:hAnsi="Calibri" w:cs="Calibri"/>
                <w:color w:val="000000"/>
              </w:rPr>
              <w:t>Countermeasure #1: 209, 303 Safety Treat Fixed Objects, Safety Lighting</w:t>
            </w:r>
          </w:p>
        </w:tc>
        <w:tc>
          <w:tcPr>
            <w:tcW w:w="1710" w:type="dxa"/>
            <w:tcBorders>
              <w:bottom w:val="single" w:sz="4" w:space="0" w:color="5B9BD5" w:themeColor="accent4"/>
            </w:tcBorders>
          </w:tcPr>
          <w:p w14:paraId="7450764F" w14:textId="727C9C3D"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$155,812,000 </w:t>
            </w:r>
          </w:p>
        </w:tc>
        <w:tc>
          <w:tcPr>
            <w:tcW w:w="1885" w:type="dxa"/>
            <w:tcBorders>
              <w:bottom w:val="single" w:sz="4" w:space="0" w:color="5B9BD5" w:themeColor="accent4"/>
            </w:tcBorders>
          </w:tcPr>
          <w:p w14:paraId="4DD7BA85" w14:textId="7E0B24F2"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$43,627,000 </w:t>
            </w:r>
          </w:p>
        </w:tc>
      </w:tr>
      <w:tr w:rsidR="00536BA9" w:rsidRPr="000B5AE9" w14:paraId="36243B74" w14:textId="77777777" w:rsidTr="00761375">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7EBFE6C8" w14:textId="31BCF9BF" w:rsidR="00536BA9" w:rsidRPr="000B5AE9" w:rsidRDefault="00536BA9" w:rsidP="00536BA9">
            <w:pPr>
              <w:pStyle w:val="ListParagraph"/>
              <w:ind w:left="0"/>
            </w:pPr>
            <w:r>
              <w:rPr>
                <w:rFonts w:ascii="Calibri" w:hAnsi="Calibri" w:cs="Calibri"/>
                <w:color w:val="000000"/>
              </w:rPr>
              <w:t>Countermeasure #2: 108,305 Improve Traffic Signals, Safety Lighting at Intersection</w:t>
            </w:r>
          </w:p>
        </w:tc>
        <w:tc>
          <w:tcPr>
            <w:tcW w:w="1710" w:type="dxa"/>
            <w:tcBorders>
              <w:bottom w:val="single" w:sz="4" w:space="0" w:color="5B9BD5" w:themeColor="accent4"/>
            </w:tcBorders>
          </w:tcPr>
          <w:p w14:paraId="23058F1A" w14:textId="23E9E7C4" w:rsidR="00536BA9" w:rsidRPr="000B5AE9" w:rsidRDefault="00536BA9" w:rsidP="00536BA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$44,833,000 </w:t>
            </w:r>
          </w:p>
        </w:tc>
        <w:tc>
          <w:tcPr>
            <w:tcW w:w="1885" w:type="dxa"/>
            <w:tcBorders>
              <w:bottom w:val="single" w:sz="4" w:space="0" w:color="5B9BD5" w:themeColor="accent4"/>
            </w:tcBorders>
          </w:tcPr>
          <w:p w14:paraId="274FA972" w14:textId="7793FC9B" w:rsidR="00536BA9" w:rsidRPr="000B5AE9" w:rsidRDefault="00536BA9" w:rsidP="00536BA9">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Pr>
                <w:rFonts w:ascii="Calibri" w:hAnsi="Calibri" w:cs="Calibri"/>
                <w:color w:val="000000"/>
              </w:rPr>
              <w:t xml:space="preserve">$30,038,000 </w:t>
            </w:r>
          </w:p>
        </w:tc>
      </w:tr>
      <w:tr w:rsidR="00536BA9" w:rsidRPr="000B5AE9" w14:paraId="208CC7A1" w14:textId="77777777" w:rsidTr="00761375">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27099E18" w14:textId="39C5DECB" w:rsidR="00536BA9" w:rsidRPr="000B5AE9" w:rsidRDefault="00536BA9" w:rsidP="00536BA9">
            <w:pPr>
              <w:pStyle w:val="ListParagraph"/>
              <w:ind w:left="0"/>
            </w:pPr>
            <w:r>
              <w:rPr>
                <w:rFonts w:ascii="Calibri" w:hAnsi="Calibri" w:cs="Calibri"/>
                <w:color w:val="000000"/>
              </w:rPr>
              <w:t>Countermeasure #3: 303, 401 Resurfacing, Install Pavement Markings</w:t>
            </w:r>
          </w:p>
        </w:tc>
        <w:tc>
          <w:tcPr>
            <w:tcW w:w="1710" w:type="dxa"/>
            <w:tcBorders>
              <w:bottom w:val="single" w:sz="4" w:space="0" w:color="5B9BD5" w:themeColor="accent4"/>
            </w:tcBorders>
          </w:tcPr>
          <w:p w14:paraId="3702C71A" w14:textId="76911538"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$87,186,000 </w:t>
            </w:r>
          </w:p>
        </w:tc>
        <w:tc>
          <w:tcPr>
            <w:tcW w:w="1885" w:type="dxa"/>
            <w:tcBorders>
              <w:bottom w:val="single" w:sz="4" w:space="0" w:color="5B9BD5" w:themeColor="accent4"/>
            </w:tcBorders>
          </w:tcPr>
          <w:p w14:paraId="009CF5C2" w14:textId="7E9288D8" w:rsidR="00536BA9" w:rsidRPr="000B5AE9" w:rsidRDefault="00536BA9" w:rsidP="00536BA9">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$43,593,000 </w:t>
            </w:r>
          </w:p>
        </w:tc>
      </w:tr>
      <w:tr w:rsidR="00564109" w:rsidRPr="000B5AE9" w14:paraId="4BBDDD99" w14:textId="77777777" w:rsidTr="006F6934">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0E2F3116" w14:textId="77777777" w:rsidR="00564109" w:rsidRPr="000B5AE9" w:rsidRDefault="00564109" w:rsidP="00564109">
            <w:pPr>
              <w:pStyle w:val="ListParagraph"/>
              <w:ind w:left="0"/>
              <w:rPr>
                <w:i/>
                <w:iCs/>
              </w:rPr>
            </w:pPr>
            <w:r w:rsidRPr="000B5AE9">
              <w:rPr>
                <w:i/>
                <w:iCs/>
              </w:rPr>
              <w:t>Total in Real $</w:t>
            </w:r>
          </w:p>
        </w:tc>
        <w:tc>
          <w:tcPr>
            <w:tcW w:w="1710" w:type="dxa"/>
            <w:tcBorders>
              <w:top w:val="double" w:sz="4" w:space="0" w:color="5B9BD5" w:themeColor="accent4"/>
              <w:bottom w:val="double" w:sz="4" w:space="0" w:color="5B9BD5" w:themeColor="accent4"/>
            </w:tcBorders>
          </w:tcPr>
          <w:p w14:paraId="437AD875" w14:textId="26C1E660" w:rsidR="00564109" w:rsidRPr="007B5CB0" w:rsidRDefault="00564109" w:rsidP="00564109">
            <w:pPr>
              <w:pStyle w:val="ListParagraph"/>
              <w:ind w:left="0"/>
              <w:cnfStyle w:val="000000010000" w:firstRow="0" w:lastRow="0" w:firstColumn="0" w:lastColumn="0" w:oddVBand="0" w:evenVBand="0" w:oddHBand="0" w:evenHBand="1" w:firstRowFirstColumn="0" w:firstRowLastColumn="0" w:lastRowFirstColumn="0" w:lastRowLastColumn="0"/>
              <w:rPr>
                <w:bCs/>
                <w:i/>
                <w:iCs/>
              </w:rPr>
            </w:pPr>
            <w:r w:rsidRPr="007B5CB0">
              <w:rPr>
                <w:rFonts w:ascii="Calibri" w:hAnsi="Calibri" w:cs="Calibri"/>
                <w:i/>
                <w:iCs/>
                <w:color w:val="000000"/>
              </w:rPr>
              <w:t xml:space="preserve">$287,830,200 </w:t>
            </w:r>
          </w:p>
        </w:tc>
        <w:tc>
          <w:tcPr>
            <w:tcW w:w="1885" w:type="dxa"/>
            <w:tcBorders>
              <w:top w:val="double" w:sz="4" w:space="0" w:color="5B9BD5" w:themeColor="accent4"/>
              <w:bottom w:val="single" w:sz="4" w:space="0" w:color="5B9BD5" w:themeColor="accent4"/>
            </w:tcBorders>
          </w:tcPr>
          <w:p w14:paraId="5ACED492" w14:textId="0126E708" w:rsidR="00564109" w:rsidRPr="007B5CB0" w:rsidRDefault="00564109" w:rsidP="00564109">
            <w:pPr>
              <w:pStyle w:val="ListParagraph"/>
              <w:ind w:left="0"/>
              <w:cnfStyle w:val="000000010000" w:firstRow="0" w:lastRow="0" w:firstColumn="0" w:lastColumn="0" w:oddVBand="0" w:evenVBand="0" w:oddHBand="0" w:evenHBand="1" w:firstRowFirstColumn="0" w:firstRowLastColumn="0" w:lastRowFirstColumn="0" w:lastRowLastColumn="0"/>
              <w:rPr>
                <w:bCs/>
                <w:i/>
                <w:iCs/>
              </w:rPr>
            </w:pPr>
            <w:r w:rsidRPr="007B5CB0">
              <w:rPr>
                <w:rFonts w:ascii="Calibri" w:hAnsi="Calibri" w:cs="Calibri"/>
                <w:i/>
                <w:iCs/>
                <w:color w:val="000000"/>
              </w:rPr>
              <w:t>$117,258,00</w:t>
            </w:r>
            <w:r w:rsidR="00AA7E45">
              <w:rPr>
                <w:rFonts w:ascii="Calibri" w:hAnsi="Calibri" w:cs="Calibri"/>
                <w:i/>
                <w:iCs/>
                <w:color w:val="000000"/>
              </w:rPr>
              <w:t>0</w:t>
            </w:r>
          </w:p>
        </w:tc>
      </w:tr>
      <w:tr w:rsidR="00564109" w:rsidRPr="000B5AE9" w14:paraId="35AD3121"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4DEB1A63" w14:textId="6193026C" w:rsidR="00564109" w:rsidRPr="000B5AE9" w:rsidRDefault="00564109" w:rsidP="00564109">
            <w:pPr>
              <w:rPr>
                <w:rFonts w:ascii="Calibri" w:hAnsi="Calibri" w:cs="Calibri"/>
                <w:b/>
              </w:rPr>
            </w:pPr>
            <w:r w:rsidRPr="000B5AE9">
              <w:rPr>
                <w:rFonts w:ascii="Calibri" w:hAnsi="Calibri" w:cs="Calibri"/>
                <w:b/>
              </w:rPr>
              <w:t xml:space="preserve">Total Monetized Benefit </w:t>
            </w:r>
            <w:r w:rsidRPr="000B5AE9">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F601FB5" w14:textId="57945D9C" w:rsidR="00564109" w:rsidRPr="000B5AE9" w:rsidRDefault="00564109" w:rsidP="00564109">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 xml:space="preserve">$170,572,000 </w:t>
            </w:r>
          </w:p>
        </w:tc>
      </w:tr>
      <w:tr w:rsidR="00564109" w:rsidRPr="007356E6" w14:paraId="52923B8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04298AD" w14:textId="5FD0E6E3" w:rsidR="00564109" w:rsidRPr="000B5AE9" w:rsidRDefault="00564109" w:rsidP="00564109">
            <w:pPr>
              <w:rPr>
                <w:rFonts w:ascii="Calibri" w:hAnsi="Calibri" w:cs="Calibri"/>
                <w:b/>
              </w:rPr>
            </w:pPr>
            <w:r w:rsidRPr="000B5AE9">
              <w:rPr>
                <w:rFonts w:ascii="Calibri" w:hAnsi="Calibri" w:cs="Calibri"/>
                <w:b/>
              </w:rPr>
              <w:t xml:space="preserve">Total Monetized Benefit </w:t>
            </w:r>
            <w:r w:rsidRPr="000B5AE9">
              <w:rPr>
                <w:rFonts w:ascii="Calibri" w:hAnsi="Calibri" w:cs="Calibri"/>
                <w:b/>
                <w:bCs w:val="0"/>
              </w:rPr>
              <w:t xml:space="preserve">Discounted @ 3.1% </w:t>
            </w:r>
          </w:p>
        </w:tc>
        <w:tc>
          <w:tcPr>
            <w:tcW w:w="3595" w:type="dxa"/>
            <w:gridSpan w:val="2"/>
            <w:tcBorders>
              <w:top w:val="triple" w:sz="4" w:space="0" w:color="5B9BD5" w:themeColor="accent4"/>
            </w:tcBorders>
            <w:shd w:val="clear" w:color="auto" w:fill="E7E6E6" w:themeFill="background2"/>
          </w:tcPr>
          <w:p w14:paraId="25E80EF3" w14:textId="065F1206" w:rsidR="00564109" w:rsidRPr="008935C6" w:rsidRDefault="00564109" w:rsidP="00564109">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$112,773,000 </w:t>
            </w:r>
          </w:p>
        </w:tc>
      </w:tr>
    </w:tbl>
    <w:p w14:paraId="02A9627F" w14:textId="77777777" w:rsidR="00F95152" w:rsidRDefault="00F95152" w:rsidP="003D6DAE"/>
    <w:p w14:paraId="526C49E5" w14:textId="137AF35D" w:rsidR="005769E0" w:rsidRDefault="005769E0" w:rsidP="005769E0">
      <w:pPr>
        <w:pStyle w:val="Caption"/>
        <w:spacing w:after="0"/>
      </w:pPr>
      <w:r w:rsidRPr="009E6900">
        <w:rPr>
          <w:b/>
          <w:bCs/>
        </w:rPr>
        <w:t xml:space="preserve">Table </w:t>
      </w:r>
      <w:r w:rsidRPr="009E6900">
        <w:rPr>
          <w:b/>
          <w:bCs/>
        </w:rPr>
        <w:fldChar w:fldCharType="begin"/>
      </w:r>
      <w:r w:rsidRPr="009E6900">
        <w:rPr>
          <w:b/>
          <w:bCs/>
        </w:rPr>
        <w:instrText xml:space="preserve"> SEQ Table \* ARABIC </w:instrText>
      </w:r>
      <w:r w:rsidRPr="009E6900">
        <w:rPr>
          <w:b/>
          <w:bCs/>
        </w:rPr>
        <w:fldChar w:fldCharType="separate"/>
      </w:r>
      <w:r w:rsidR="00A927CD">
        <w:rPr>
          <w:b/>
          <w:bCs/>
          <w:noProof/>
        </w:rPr>
        <w:t>19</w:t>
      </w:r>
      <w:r w:rsidRPr="009E6900">
        <w:rPr>
          <w:b/>
          <w:bCs/>
        </w:rPr>
        <w:fldChar w:fldCharType="end"/>
      </w:r>
      <w:r w:rsidRPr="009E6900">
        <w:rPr>
          <w:b/>
          <w:bCs/>
        </w:rPr>
        <w:t>.</w:t>
      </w:r>
      <w:r w:rsidRPr="009E6900">
        <w:t xml:space="preserve"> Safety</w:t>
      </w:r>
      <w:r>
        <w:t xml:space="preserve"> – Pedestrian</w:t>
      </w:r>
      <w:r w:rsidRPr="009E6900">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5769E0" w14:paraId="75402A26" w14:textId="77777777" w:rsidTr="00172BBD">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5760" w:type="dxa"/>
          </w:tcPr>
          <w:p w14:paraId="1F5BB55A" w14:textId="77777777" w:rsidR="005769E0" w:rsidRDefault="005769E0" w:rsidP="00172BBD">
            <w:pPr>
              <w:pStyle w:val="ListParagraph"/>
              <w:ind w:left="0"/>
              <w:rPr>
                <w:b w:val="0"/>
                <w:bCs w:val="0"/>
              </w:rPr>
            </w:pPr>
            <w:r w:rsidRPr="007C2113">
              <w:t>Safety – Pedestrian Monetized Benefits</w:t>
            </w:r>
          </w:p>
        </w:tc>
        <w:tc>
          <w:tcPr>
            <w:tcW w:w="1710" w:type="dxa"/>
          </w:tcPr>
          <w:p w14:paraId="1C490B66"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9470965"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5769E0" w:rsidRPr="000977C6" w14:paraId="31ADDF89"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399DF86E" w14:textId="4047333F" w:rsidR="005769E0" w:rsidRPr="009E6900" w:rsidRDefault="005769E0" w:rsidP="005769E0">
            <w:pPr>
              <w:pStyle w:val="ListParagraph"/>
              <w:ind w:left="0"/>
              <w:rPr>
                <w:rFonts w:ascii="Calibri" w:hAnsi="Calibri" w:cs="Calibri"/>
                <w:color w:val="000000"/>
              </w:rPr>
            </w:pPr>
            <w:r>
              <w:rPr>
                <w:rFonts w:ascii="Calibri" w:hAnsi="Calibri" w:cs="Calibri"/>
                <w:color w:val="000000"/>
              </w:rPr>
              <w:t>Countermeasure #1: 304, 407 Safety Lighting, Install Sidewalks</w:t>
            </w:r>
          </w:p>
        </w:tc>
        <w:tc>
          <w:tcPr>
            <w:tcW w:w="1710" w:type="dxa"/>
            <w:tcBorders>
              <w:bottom w:val="single" w:sz="4" w:space="0" w:color="5B9BD5" w:themeColor="accent4"/>
            </w:tcBorders>
          </w:tcPr>
          <w:p w14:paraId="7C505AEA" w14:textId="20CF500F" w:rsidR="005769E0" w:rsidRDefault="005769E0" w:rsidP="005769E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$44,409,000 </w:t>
            </w:r>
          </w:p>
        </w:tc>
        <w:tc>
          <w:tcPr>
            <w:tcW w:w="1885" w:type="dxa"/>
            <w:tcBorders>
              <w:bottom w:val="single" w:sz="4" w:space="0" w:color="5B9BD5" w:themeColor="accent4"/>
            </w:tcBorders>
          </w:tcPr>
          <w:p w14:paraId="31BCC3BC" w14:textId="2BF226A5" w:rsidR="005769E0" w:rsidRDefault="005769E0" w:rsidP="005769E0">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$23,981,000 </w:t>
            </w:r>
          </w:p>
        </w:tc>
      </w:tr>
      <w:tr w:rsidR="00CD1981" w:rsidRPr="000977C6" w14:paraId="753CB8F3" w14:textId="77777777" w:rsidTr="00172BB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7665553F" w14:textId="77777777" w:rsidR="00CD1981" w:rsidRPr="005B2DD5" w:rsidRDefault="00CD1981" w:rsidP="00CD1981">
            <w:pPr>
              <w:pStyle w:val="ListParagraph"/>
              <w:ind w:left="0"/>
              <w:rPr>
                <w:i/>
                <w:iCs/>
              </w:rPr>
            </w:pPr>
            <w:r>
              <w:rPr>
                <w:rFonts w:ascii="Calibri" w:hAnsi="Calibri" w:cs="Calibri"/>
                <w:i/>
                <w:iCs/>
                <w:color w:val="000000"/>
              </w:rPr>
              <w:t>Total in Real $</w:t>
            </w:r>
          </w:p>
        </w:tc>
        <w:tc>
          <w:tcPr>
            <w:tcW w:w="1710" w:type="dxa"/>
            <w:tcBorders>
              <w:top w:val="double" w:sz="4" w:space="0" w:color="5B9BD5" w:themeColor="accent4"/>
              <w:bottom w:val="double" w:sz="4" w:space="0" w:color="5B9BD5" w:themeColor="accent4"/>
            </w:tcBorders>
          </w:tcPr>
          <w:p w14:paraId="288440DB" w14:textId="07D27AE3" w:rsidR="00CD1981" w:rsidRPr="007B5CB0" w:rsidRDefault="00CD1981" w:rsidP="00CD1981">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$44,409,000 </w:t>
            </w:r>
          </w:p>
        </w:tc>
        <w:tc>
          <w:tcPr>
            <w:tcW w:w="1885" w:type="dxa"/>
            <w:tcBorders>
              <w:top w:val="double" w:sz="4" w:space="0" w:color="5B9BD5" w:themeColor="accent4"/>
              <w:bottom w:val="single" w:sz="4" w:space="0" w:color="5B9BD5" w:themeColor="accent4"/>
            </w:tcBorders>
          </w:tcPr>
          <w:p w14:paraId="74B8EBD8" w14:textId="7609725A" w:rsidR="00CD1981" w:rsidRPr="007B5CB0" w:rsidRDefault="00CD1981" w:rsidP="00CD1981">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$23,981,000 </w:t>
            </w:r>
          </w:p>
        </w:tc>
      </w:tr>
      <w:tr w:rsidR="00CD1981" w:rsidRPr="000977C6" w14:paraId="298A730F"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3590294E" w14:textId="6C3683C1" w:rsidR="00CD1981" w:rsidRDefault="00CD1981" w:rsidP="00CD1981">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68D65E1" w14:textId="7F070B48" w:rsidR="00CD1981" w:rsidRPr="000977C6" w:rsidRDefault="00CD1981" w:rsidP="00CD1981">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$20,428,000 </w:t>
            </w:r>
          </w:p>
        </w:tc>
      </w:tr>
      <w:tr w:rsidR="00CD1981" w:rsidRPr="008935C6" w14:paraId="2C4BAF77"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Pr>
          <w:p w14:paraId="3F6CC5EA" w14:textId="02697588" w:rsidR="00CD1981" w:rsidRPr="009E6900" w:rsidRDefault="00CD1981" w:rsidP="00CD1981">
            <w:pPr>
              <w:rPr>
                <w:rFonts w:ascii="Calibri" w:hAnsi="Calibri" w:cs="Calibri"/>
                <w:b/>
              </w:rPr>
            </w:pPr>
            <w:r w:rsidRPr="009E6900">
              <w:rPr>
                <w:rFonts w:ascii="Calibri" w:hAnsi="Calibri" w:cs="Calibri"/>
                <w:b/>
              </w:rPr>
              <w:t xml:space="preserve">Total Monetized Benefit </w:t>
            </w:r>
            <w:r w:rsidRPr="009E6900">
              <w:rPr>
                <w:rFonts w:ascii="Calibri" w:hAnsi="Calibri" w:cs="Calibri"/>
                <w:b/>
                <w:bCs w:val="0"/>
              </w:rPr>
              <w:t xml:space="preserve">Discounted @ 3.1% </w:t>
            </w:r>
          </w:p>
        </w:tc>
        <w:tc>
          <w:tcPr>
            <w:tcW w:w="3595" w:type="dxa"/>
            <w:gridSpan w:val="2"/>
          </w:tcPr>
          <w:p w14:paraId="4AF17614" w14:textId="1DBDFE97" w:rsidR="00CD1981" w:rsidRPr="008935C6" w:rsidRDefault="00CD1981" w:rsidP="00CD1981">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$13,856,000 </w:t>
            </w:r>
          </w:p>
        </w:tc>
      </w:tr>
    </w:tbl>
    <w:p w14:paraId="6E9725AB" w14:textId="77777777" w:rsidR="005769E0" w:rsidRDefault="005769E0" w:rsidP="005769E0"/>
    <w:p w14:paraId="378D0F3A" w14:textId="60FC89D2" w:rsidR="005769E0" w:rsidRDefault="005769E0" w:rsidP="005769E0">
      <w:pPr>
        <w:pStyle w:val="Caption"/>
        <w:spacing w:after="0"/>
      </w:pPr>
      <w:r w:rsidRPr="009E6900">
        <w:rPr>
          <w:b/>
          <w:bCs/>
        </w:rPr>
        <w:t xml:space="preserve">Table </w:t>
      </w:r>
      <w:r w:rsidRPr="009E6900">
        <w:rPr>
          <w:b/>
          <w:bCs/>
        </w:rPr>
        <w:fldChar w:fldCharType="begin"/>
      </w:r>
      <w:r w:rsidRPr="009E6900">
        <w:rPr>
          <w:b/>
          <w:bCs/>
        </w:rPr>
        <w:instrText xml:space="preserve"> SEQ Table \* ARABIC </w:instrText>
      </w:r>
      <w:r w:rsidRPr="009E6900">
        <w:rPr>
          <w:b/>
          <w:bCs/>
        </w:rPr>
        <w:fldChar w:fldCharType="separate"/>
      </w:r>
      <w:r w:rsidR="00A927CD">
        <w:rPr>
          <w:b/>
          <w:bCs/>
          <w:noProof/>
        </w:rPr>
        <w:t>20</w:t>
      </w:r>
      <w:r w:rsidRPr="009E6900">
        <w:rPr>
          <w:b/>
          <w:bCs/>
        </w:rPr>
        <w:fldChar w:fldCharType="end"/>
      </w:r>
      <w:r w:rsidRPr="009E6900">
        <w:rPr>
          <w:b/>
          <w:bCs/>
        </w:rPr>
        <w:t>.</w:t>
      </w:r>
      <w:r w:rsidRPr="009E6900">
        <w:t xml:space="preserve"> Safety</w:t>
      </w:r>
      <w:r>
        <w:t xml:space="preserve"> – Bicycle</w:t>
      </w:r>
      <w:r w:rsidRPr="009E6900">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5769E0" w14:paraId="220C9A55" w14:textId="77777777" w:rsidTr="00172BBD">
        <w:trPr>
          <w:cnfStyle w:val="100000000000" w:firstRow="1" w:lastRow="0" w:firstColumn="0" w:lastColumn="0" w:oddVBand="0" w:evenVBand="0" w:oddHBand="0" w:evenHBand="0" w:firstRowFirstColumn="0" w:firstRowLastColumn="0" w:lastRowFirstColumn="0" w:lastRowLastColumn="0"/>
          <w:trHeight w:val="305"/>
        </w:trPr>
        <w:tc>
          <w:tcPr>
            <w:cnfStyle w:val="001000000100" w:firstRow="0" w:lastRow="0" w:firstColumn="1" w:lastColumn="0" w:oddVBand="0" w:evenVBand="0" w:oddHBand="0" w:evenHBand="0" w:firstRowFirstColumn="1" w:firstRowLastColumn="0" w:lastRowFirstColumn="0" w:lastRowLastColumn="0"/>
            <w:tcW w:w="5760" w:type="dxa"/>
          </w:tcPr>
          <w:p w14:paraId="398DF285" w14:textId="77777777" w:rsidR="005769E0" w:rsidRDefault="005769E0" w:rsidP="00172BBD">
            <w:pPr>
              <w:pStyle w:val="ListParagraph"/>
              <w:ind w:left="0"/>
              <w:rPr>
                <w:b w:val="0"/>
                <w:bCs w:val="0"/>
              </w:rPr>
            </w:pPr>
            <w:r w:rsidRPr="007C2113">
              <w:t xml:space="preserve">Safety – </w:t>
            </w:r>
            <w:r>
              <w:t>Bicycle</w:t>
            </w:r>
            <w:r w:rsidRPr="007C2113">
              <w:t xml:space="preserve"> Monetized Benefits</w:t>
            </w:r>
          </w:p>
        </w:tc>
        <w:tc>
          <w:tcPr>
            <w:tcW w:w="1710" w:type="dxa"/>
          </w:tcPr>
          <w:p w14:paraId="159DB8FA"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5ECE0E6F"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CD1981" w:rsidRPr="000977C6" w14:paraId="18223C36" w14:textId="77777777" w:rsidTr="00172BBD">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tcPr>
          <w:p w14:paraId="588978D5" w14:textId="5975CD31" w:rsidR="00CD1981" w:rsidRPr="009E6900" w:rsidRDefault="00CD1981" w:rsidP="00CD1981">
            <w:pPr>
              <w:rPr>
                <w:rFonts w:ascii="Calibri" w:hAnsi="Calibri" w:cs="Calibri"/>
                <w:color w:val="000000"/>
              </w:rPr>
            </w:pPr>
            <w:r>
              <w:rPr>
                <w:rFonts w:ascii="Calibri" w:hAnsi="Calibri" w:cs="Calibri"/>
                <w:color w:val="000000"/>
              </w:rPr>
              <w:t>Countermeasure #1: Buffered bicycle lane on 4-lane roads</w:t>
            </w:r>
          </w:p>
        </w:tc>
        <w:tc>
          <w:tcPr>
            <w:tcW w:w="1710" w:type="dxa"/>
            <w:tcBorders>
              <w:bottom w:val="single" w:sz="4" w:space="0" w:color="5B9BD5" w:themeColor="accent4"/>
            </w:tcBorders>
          </w:tcPr>
          <w:p w14:paraId="2CED67EF" w14:textId="1F6E66CA" w:rsidR="00CD1981" w:rsidRDefault="00CD1981" w:rsidP="00CD198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$3,954,000 </w:t>
            </w:r>
          </w:p>
        </w:tc>
        <w:tc>
          <w:tcPr>
            <w:tcW w:w="1885" w:type="dxa"/>
            <w:tcBorders>
              <w:bottom w:val="single" w:sz="4" w:space="0" w:color="5B9BD5" w:themeColor="accent4"/>
            </w:tcBorders>
          </w:tcPr>
          <w:p w14:paraId="2AB90C86" w14:textId="252E253B" w:rsidR="00CD1981" w:rsidRDefault="00CD1981" w:rsidP="00CD1981">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$1,463,000 </w:t>
            </w:r>
          </w:p>
        </w:tc>
      </w:tr>
      <w:tr w:rsidR="004557AE" w:rsidRPr="000977C6" w14:paraId="3973B88B" w14:textId="77777777" w:rsidTr="00172BB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746C9AB0" w14:textId="77777777" w:rsidR="004557AE" w:rsidRPr="005B2DD5" w:rsidRDefault="004557AE" w:rsidP="004557AE">
            <w:pPr>
              <w:pStyle w:val="ListParagraph"/>
              <w:ind w:left="0"/>
              <w:rPr>
                <w:i/>
                <w:iCs/>
              </w:rPr>
            </w:pPr>
            <w:r>
              <w:rPr>
                <w:rFonts w:ascii="Calibri" w:hAnsi="Calibri" w:cs="Calibri"/>
                <w:i/>
                <w:iCs/>
                <w:color w:val="000000"/>
              </w:rPr>
              <w:t>Total in Real $</w:t>
            </w:r>
          </w:p>
        </w:tc>
        <w:tc>
          <w:tcPr>
            <w:tcW w:w="1710" w:type="dxa"/>
            <w:tcBorders>
              <w:top w:val="double" w:sz="4" w:space="0" w:color="5B9BD5" w:themeColor="accent4"/>
              <w:bottom w:val="double" w:sz="4" w:space="0" w:color="5B9BD5" w:themeColor="accent4"/>
            </w:tcBorders>
          </w:tcPr>
          <w:p w14:paraId="05773F30" w14:textId="353DA948" w:rsidR="004557AE" w:rsidRPr="007B5CB0" w:rsidRDefault="004557AE" w:rsidP="004557AE">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$3,954,000 </w:t>
            </w:r>
          </w:p>
        </w:tc>
        <w:tc>
          <w:tcPr>
            <w:tcW w:w="1885" w:type="dxa"/>
            <w:tcBorders>
              <w:top w:val="double" w:sz="4" w:space="0" w:color="5B9BD5" w:themeColor="accent4"/>
              <w:bottom w:val="single" w:sz="4" w:space="0" w:color="5B9BD5" w:themeColor="accent4"/>
            </w:tcBorders>
          </w:tcPr>
          <w:p w14:paraId="4ABFC19E" w14:textId="5D528584" w:rsidR="004557AE" w:rsidRPr="007B5CB0" w:rsidRDefault="004557AE" w:rsidP="004557AE">
            <w:pPr>
              <w:cnfStyle w:val="000000010000" w:firstRow="0" w:lastRow="0" w:firstColumn="0" w:lastColumn="0" w:oddVBand="0" w:evenVBand="0" w:oddHBand="0" w:evenHBand="1" w:firstRowFirstColumn="0" w:firstRowLastColumn="0" w:lastRowFirstColumn="0" w:lastRowLastColumn="0"/>
              <w:rPr>
                <w:rFonts w:ascii="Calibri" w:hAnsi="Calibri" w:cs="Calibri"/>
                <w:b/>
                <w:bCs/>
                <w:i/>
                <w:iCs/>
                <w:color w:val="000000"/>
              </w:rPr>
            </w:pPr>
            <w:r w:rsidRPr="007B5CB0">
              <w:rPr>
                <w:rFonts w:ascii="Calibri" w:hAnsi="Calibri" w:cs="Calibri"/>
                <w:i/>
                <w:iCs/>
                <w:color w:val="000000"/>
              </w:rPr>
              <w:t xml:space="preserve">$1,463,000 </w:t>
            </w:r>
          </w:p>
        </w:tc>
      </w:tr>
      <w:tr w:rsidR="004557AE" w:rsidRPr="000977C6" w14:paraId="05CEFFBF"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77B86C9" w14:textId="22CEA3F8" w:rsidR="004557AE" w:rsidRDefault="004557AE" w:rsidP="004557AE">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8EEA223" w14:textId="3500BEF8" w:rsidR="004557AE" w:rsidRPr="000977C6" w:rsidRDefault="004557AE" w:rsidP="004557AE">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$2,491,000 </w:t>
            </w:r>
          </w:p>
        </w:tc>
      </w:tr>
      <w:tr w:rsidR="004557AE" w:rsidRPr="008935C6" w14:paraId="78380C22"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Pr>
          <w:p w14:paraId="7135EC7E" w14:textId="6C753876" w:rsidR="004557AE" w:rsidRPr="009E6900" w:rsidRDefault="004557AE" w:rsidP="004557AE">
            <w:pPr>
              <w:rPr>
                <w:rFonts w:ascii="Calibri" w:hAnsi="Calibri" w:cs="Calibri"/>
                <w:b/>
              </w:rPr>
            </w:pPr>
            <w:r w:rsidRPr="009E6900">
              <w:rPr>
                <w:rFonts w:ascii="Calibri" w:hAnsi="Calibri" w:cs="Calibri"/>
                <w:b/>
              </w:rPr>
              <w:t xml:space="preserve">Total Monetized Benefit </w:t>
            </w:r>
            <w:r w:rsidRPr="009E6900">
              <w:rPr>
                <w:rFonts w:ascii="Calibri" w:hAnsi="Calibri" w:cs="Calibri"/>
                <w:b/>
                <w:bCs w:val="0"/>
              </w:rPr>
              <w:t xml:space="preserve">Discounted @ 3.1% </w:t>
            </w:r>
          </w:p>
        </w:tc>
        <w:tc>
          <w:tcPr>
            <w:tcW w:w="3595" w:type="dxa"/>
            <w:gridSpan w:val="2"/>
          </w:tcPr>
          <w:p w14:paraId="3CBEA120" w14:textId="55BCDB14" w:rsidR="004557AE" w:rsidRPr="008935C6" w:rsidRDefault="004557AE" w:rsidP="004557AE">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rPr>
            </w:pPr>
            <w:r>
              <w:rPr>
                <w:rFonts w:ascii="Calibri" w:hAnsi="Calibri" w:cs="Calibri"/>
                <w:b/>
                <w:bCs/>
                <w:color w:val="000000"/>
              </w:rPr>
              <w:t xml:space="preserve">$1,576,000 </w:t>
            </w:r>
          </w:p>
        </w:tc>
      </w:tr>
    </w:tbl>
    <w:p w14:paraId="19366772" w14:textId="77777777" w:rsidR="005769E0" w:rsidRDefault="005769E0" w:rsidP="005769E0"/>
    <w:p w14:paraId="572B33E4" w14:textId="6290FA86" w:rsidR="005769E0" w:rsidRDefault="005769E0" w:rsidP="005769E0">
      <w:pPr>
        <w:pStyle w:val="Caption"/>
        <w:spacing w:after="0"/>
      </w:pPr>
      <w:r w:rsidRPr="000977C6">
        <w:rPr>
          <w:b/>
          <w:bCs/>
        </w:rPr>
        <w:t xml:space="preserve">Table </w:t>
      </w:r>
      <w:r w:rsidRPr="000977C6">
        <w:rPr>
          <w:b/>
          <w:bCs/>
        </w:rPr>
        <w:fldChar w:fldCharType="begin"/>
      </w:r>
      <w:r w:rsidRPr="000977C6">
        <w:rPr>
          <w:b/>
          <w:bCs/>
        </w:rPr>
        <w:instrText xml:space="preserve"> SEQ Table \* ARABIC </w:instrText>
      </w:r>
      <w:r w:rsidRPr="000977C6">
        <w:rPr>
          <w:b/>
          <w:bCs/>
        </w:rPr>
        <w:fldChar w:fldCharType="separate"/>
      </w:r>
      <w:r w:rsidR="00A927CD">
        <w:rPr>
          <w:b/>
          <w:bCs/>
          <w:noProof/>
        </w:rPr>
        <w:t>21</w:t>
      </w:r>
      <w:r w:rsidRPr="000977C6">
        <w:rPr>
          <w:b/>
          <w:bCs/>
        </w:rPr>
        <w:fldChar w:fldCharType="end"/>
      </w:r>
      <w:r w:rsidRPr="000977C6">
        <w:rPr>
          <w:b/>
          <w:bCs/>
        </w:rPr>
        <w:t>.</w:t>
      </w:r>
      <w:r w:rsidRPr="000977C6">
        <w:t xml:space="preserve"> </w:t>
      </w:r>
      <w:r>
        <w:t xml:space="preserve">Safety – </w:t>
      </w:r>
      <w:r w:rsidR="005D24AC">
        <w:t>All Modes</w:t>
      </w:r>
    </w:p>
    <w:tbl>
      <w:tblPr>
        <w:tblStyle w:val="TGCCenterAlignment"/>
        <w:tblW w:w="9355" w:type="dxa"/>
        <w:tblInd w:w="-5" w:type="dxa"/>
        <w:tblLook w:val="04A0" w:firstRow="1" w:lastRow="0" w:firstColumn="1" w:lastColumn="0" w:noHBand="0" w:noVBand="1"/>
      </w:tblPr>
      <w:tblGrid>
        <w:gridCol w:w="5760"/>
        <w:gridCol w:w="1710"/>
        <w:gridCol w:w="1885"/>
      </w:tblGrid>
      <w:tr w:rsidR="005769E0" w14:paraId="7AFA67D6" w14:textId="77777777" w:rsidTr="00172BBD">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2F728380" w14:textId="77777777" w:rsidR="005769E0" w:rsidRDefault="005769E0" w:rsidP="00172BBD">
            <w:pPr>
              <w:pStyle w:val="ListParagraph"/>
              <w:ind w:left="0"/>
              <w:rPr>
                <w:b w:val="0"/>
                <w:bCs w:val="0"/>
              </w:rPr>
            </w:pPr>
            <w:r>
              <w:t xml:space="preserve">Safety – Total Benefits </w:t>
            </w:r>
          </w:p>
        </w:tc>
        <w:tc>
          <w:tcPr>
            <w:tcW w:w="1710" w:type="dxa"/>
          </w:tcPr>
          <w:p w14:paraId="572B9EE3"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F7B5F0E" w14:textId="77777777" w:rsidR="005769E0" w:rsidRDefault="005769E0" w:rsidP="00172BBD">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4557AE" w14:paraId="36D27A8B"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36E6F14" w14:textId="77777777" w:rsidR="004557AE" w:rsidRDefault="004557AE" w:rsidP="004557AE">
            <w:pPr>
              <w:pStyle w:val="ListParagraph"/>
              <w:ind w:left="0"/>
            </w:pPr>
            <w:r>
              <w:t>Auto</w:t>
            </w:r>
          </w:p>
        </w:tc>
        <w:tc>
          <w:tcPr>
            <w:tcW w:w="1710" w:type="dxa"/>
            <w:tcBorders>
              <w:bottom w:val="single" w:sz="4" w:space="0" w:color="5B9BD5" w:themeColor="accent4"/>
            </w:tcBorders>
          </w:tcPr>
          <w:p w14:paraId="6EA859A9" w14:textId="677CEFE1" w:rsidR="004557AE" w:rsidRPr="000977C6"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000000"/>
              </w:rPr>
            </w:pPr>
            <w:r>
              <w:rPr>
                <w:rFonts w:ascii="Calibri" w:hAnsi="Calibri" w:cs="Calibri"/>
                <w:color w:val="000000"/>
              </w:rPr>
              <w:t xml:space="preserve">$287,830,200 </w:t>
            </w:r>
          </w:p>
        </w:tc>
        <w:tc>
          <w:tcPr>
            <w:tcW w:w="1885" w:type="dxa"/>
            <w:tcBorders>
              <w:bottom w:val="single" w:sz="4" w:space="0" w:color="5B9BD5" w:themeColor="accent4"/>
            </w:tcBorders>
          </w:tcPr>
          <w:p w14:paraId="4B848AED" w14:textId="1B361F22" w:rsidR="004557AE" w:rsidRPr="000977C6"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ascii="Calibri" w:hAnsi="Calibri" w:cs="Calibri"/>
                <w:color w:val="000000"/>
              </w:rPr>
              <w:t>$117,258,00</w:t>
            </w:r>
            <w:r w:rsidR="003E0B7C">
              <w:rPr>
                <w:rFonts w:ascii="Calibri" w:hAnsi="Calibri" w:cs="Calibri"/>
                <w:color w:val="000000"/>
              </w:rPr>
              <w:t>0</w:t>
            </w:r>
            <w:r>
              <w:rPr>
                <w:rFonts w:ascii="Calibri" w:hAnsi="Calibri" w:cs="Calibri"/>
                <w:color w:val="000000"/>
              </w:rPr>
              <w:t xml:space="preserve"> </w:t>
            </w:r>
          </w:p>
        </w:tc>
      </w:tr>
      <w:tr w:rsidR="004557AE" w14:paraId="2C6BBF12"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43B3F52C" w14:textId="77777777" w:rsidR="004557AE" w:rsidRDefault="004557AE" w:rsidP="004557AE">
            <w:pPr>
              <w:pStyle w:val="ListParagraph"/>
              <w:ind w:left="0"/>
            </w:pPr>
            <w:r>
              <w:t xml:space="preserve">Pedestrian </w:t>
            </w:r>
          </w:p>
        </w:tc>
        <w:tc>
          <w:tcPr>
            <w:tcW w:w="1710" w:type="dxa"/>
            <w:tcBorders>
              <w:bottom w:val="single" w:sz="4" w:space="0" w:color="5B9BD5" w:themeColor="accent4"/>
            </w:tcBorders>
          </w:tcPr>
          <w:p w14:paraId="69D1682E" w14:textId="2AEED014" w:rsidR="004557AE" w:rsidRPr="000977C6" w:rsidRDefault="004557AE" w:rsidP="004557AE">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rPr>
            </w:pPr>
            <w:r>
              <w:rPr>
                <w:rFonts w:ascii="Calibri" w:hAnsi="Calibri" w:cs="Calibri"/>
                <w:color w:val="000000"/>
              </w:rPr>
              <w:t xml:space="preserve">$44,409,300 </w:t>
            </w:r>
          </w:p>
        </w:tc>
        <w:tc>
          <w:tcPr>
            <w:tcW w:w="1885" w:type="dxa"/>
            <w:tcBorders>
              <w:bottom w:val="single" w:sz="4" w:space="0" w:color="5B9BD5" w:themeColor="accent4"/>
            </w:tcBorders>
          </w:tcPr>
          <w:p w14:paraId="2196ACB1" w14:textId="4E0106AF" w:rsidR="004557AE" w:rsidRPr="000977C6" w:rsidRDefault="004557AE" w:rsidP="004557AE">
            <w:pPr>
              <w:pStyle w:val="ListParagraph"/>
              <w:ind w:left="0"/>
              <w:cnfStyle w:val="000000010000" w:firstRow="0" w:lastRow="0" w:firstColumn="0" w:lastColumn="0" w:oddVBand="0" w:evenVBand="0" w:oddHBand="0" w:evenHBand="1" w:firstRowFirstColumn="0" w:firstRowLastColumn="0" w:lastRowFirstColumn="0" w:lastRowLastColumn="0"/>
              <w:rPr>
                <w:rFonts w:cstheme="minorHAnsi"/>
                <w:color w:val="000000"/>
              </w:rPr>
            </w:pPr>
            <w:r>
              <w:rPr>
                <w:rFonts w:ascii="Calibri" w:hAnsi="Calibri" w:cs="Calibri"/>
                <w:color w:val="000000"/>
              </w:rPr>
              <w:t>$23,981,0</w:t>
            </w:r>
            <w:r w:rsidR="003E0B7C">
              <w:rPr>
                <w:rFonts w:ascii="Calibri" w:hAnsi="Calibri" w:cs="Calibri"/>
                <w:color w:val="000000"/>
              </w:rPr>
              <w:t>00</w:t>
            </w:r>
            <w:r>
              <w:rPr>
                <w:rFonts w:ascii="Calibri" w:hAnsi="Calibri" w:cs="Calibri"/>
                <w:color w:val="000000"/>
              </w:rPr>
              <w:t xml:space="preserve"> </w:t>
            </w:r>
          </w:p>
        </w:tc>
      </w:tr>
      <w:tr w:rsidR="004557AE" w14:paraId="34AF18EB"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C8DD4EE" w14:textId="77777777" w:rsidR="004557AE" w:rsidRDefault="004557AE" w:rsidP="004557AE">
            <w:pPr>
              <w:pStyle w:val="ListParagraph"/>
              <w:ind w:left="0"/>
            </w:pPr>
            <w:r>
              <w:t>Bicycl</w:t>
            </w:r>
            <w:r>
              <w:rPr>
                <w:bCs w:val="0"/>
              </w:rPr>
              <w:t>e</w:t>
            </w:r>
          </w:p>
        </w:tc>
        <w:tc>
          <w:tcPr>
            <w:tcW w:w="1710" w:type="dxa"/>
            <w:tcBorders>
              <w:bottom w:val="single" w:sz="4" w:space="0" w:color="5B9BD5" w:themeColor="accent4"/>
            </w:tcBorders>
          </w:tcPr>
          <w:p w14:paraId="282E7B90" w14:textId="2D035B65" w:rsidR="004557AE"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$3,954,400 </w:t>
            </w:r>
          </w:p>
        </w:tc>
        <w:tc>
          <w:tcPr>
            <w:tcW w:w="1885" w:type="dxa"/>
            <w:tcBorders>
              <w:bottom w:val="single" w:sz="4" w:space="0" w:color="5B9BD5" w:themeColor="accent4"/>
            </w:tcBorders>
          </w:tcPr>
          <w:p w14:paraId="1A4719A2" w14:textId="26B99ADA" w:rsidR="004557AE" w:rsidRDefault="004557AE" w:rsidP="004557AE">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$1,463,</w:t>
            </w:r>
            <w:r w:rsidR="00317933">
              <w:rPr>
                <w:rFonts w:ascii="Calibri" w:hAnsi="Calibri" w:cs="Calibri"/>
                <w:color w:val="000000"/>
              </w:rPr>
              <w:t>000</w:t>
            </w:r>
            <w:r>
              <w:rPr>
                <w:rFonts w:ascii="Calibri" w:hAnsi="Calibri" w:cs="Calibri"/>
                <w:color w:val="000000"/>
              </w:rPr>
              <w:t xml:space="preserve"> </w:t>
            </w:r>
          </w:p>
        </w:tc>
      </w:tr>
      <w:tr w:rsidR="004557AE" w:rsidRPr="005B2DD5" w14:paraId="57564D82" w14:textId="77777777" w:rsidTr="00172BBD">
        <w:trPr>
          <w:cnfStyle w:val="000000010000" w:firstRow="0" w:lastRow="0" w:firstColumn="0" w:lastColumn="0" w:oddVBand="0" w:evenVBand="0" w:oddHBand="0" w:evenHBand="1"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3C5BCAA2" w14:textId="77777777" w:rsidR="004557AE" w:rsidRPr="005B2DD5" w:rsidRDefault="004557AE" w:rsidP="004557AE">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8798BD5" w14:textId="768530F0" w:rsidR="004557AE" w:rsidRPr="000977C6" w:rsidRDefault="004557AE" w:rsidP="004557AE">
            <w:pPr>
              <w:cnfStyle w:val="000000010000" w:firstRow="0" w:lastRow="0" w:firstColumn="0" w:lastColumn="0" w:oddVBand="0" w:evenVBand="0" w:oddHBand="0" w:evenHBand="1" w:firstRowFirstColumn="0" w:firstRowLastColumn="0" w:lastRowFirstColumn="0" w:lastRowLastColumn="0"/>
              <w:rPr>
                <w:rFonts w:cstheme="minorHAnsi"/>
                <w:i/>
                <w:iCs/>
                <w:color w:val="000000"/>
              </w:rPr>
            </w:pPr>
            <w:r>
              <w:rPr>
                <w:rFonts w:ascii="Calibri" w:hAnsi="Calibri" w:cs="Calibri"/>
                <w:i/>
                <w:iCs/>
                <w:color w:val="000000"/>
              </w:rPr>
              <w:t xml:space="preserve">$336,193,900 </w:t>
            </w:r>
          </w:p>
        </w:tc>
        <w:tc>
          <w:tcPr>
            <w:tcW w:w="1885" w:type="dxa"/>
            <w:tcBorders>
              <w:top w:val="double" w:sz="4" w:space="0" w:color="5B9BD5" w:themeColor="accent4"/>
              <w:bottom w:val="single" w:sz="4" w:space="0" w:color="5B9BD5" w:themeColor="accent4"/>
            </w:tcBorders>
          </w:tcPr>
          <w:p w14:paraId="59F64232" w14:textId="2D7999F3" w:rsidR="004557AE" w:rsidRPr="000977C6" w:rsidRDefault="004557AE" w:rsidP="004557AE">
            <w:pPr>
              <w:cnfStyle w:val="000000010000" w:firstRow="0" w:lastRow="0" w:firstColumn="0" w:lastColumn="0" w:oddVBand="0" w:evenVBand="0" w:oddHBand="0" w:evenHBand="1" w:firstRowFirstColumn="0" w:firstRowLastColumn="0" w:lastRowFirstColumn="0" w:lastRowLastColumn="0"/>
              <w:rPr>
                <w:rFonts w:cstheme="minorHAnsi"/>
                <w:i/>
                <w:iCs/>
                <w:color w:val="000000"/>
                <w:highlight w:val="yellow"/>
              </w:rPr>
            </w:pPr>
            <w:r>
              <w:rPr>
                <w:rFonts w:ascii="Calibri" w:hAnsi="Calibri" w:cs="Calibri"/>
                <w:i/>
                <w:iCs/>
                <w:color w:val="000000"/>
              </w:rPr>
              <w:t>$142,702,</w:t>
            </w:r>
            <w:r w:rsidR="00317933">
              <w:rPr>
                <w:rFonts w:ascii="Calibri" w:hAnsi="Calibri" w:cs="Calibri"/>
                <w:i/>
                <w:iCs/>
                <w:color w:val="000000"/>
              </w:rPr>
              <w:t>000</w:t>
            </w:r>
            <w:r>
              <w:rPr>
                <w:rFonts w:ascii="Calibri" w:hAnsi="Calibri" w:cs="Calibri"/>
                <w:i/>
                <w:iCs/>
                <w:color w:val="000000"/>
              </w:rPr>
              <w:t xml:space="preserve"> </w:t>
            </w:r>
          </w:p>
        </w:tc>
      </w:tr>
      <w:tr w:rsidR="007B5CB0" w14:paraId="57DDD174" w14:textId="77777777" w:rsidTr="00172B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4E849CC" w14:textId="6803EFC4" w:rsidR="007B5CB0" w:rsidRDefault="007B5CB0" w:rsidP="007B5CB0">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E63DB37" w14:textId="53BBFB3B" w:rsidR="007B5CB0" w:rsidRPr="000977C6" w:rsidRDefault="007B5CB0" w:rsidP="007B5CB0">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$193,491,000 </w:t>
            </w:r>
          </w:p>
        </w:tc>
      </w:tr>
      <w:tr w:rsidR="007B5CB0" w:rsidRPr="007356E6" w14:paraId="6389D139" w14:textId="77777777" w:rsidTr="00172BBD">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73B92E5F" w14:textId="7A12176E" w:rsidR="007B5CB0" w:rsidRPr="007356E6" w:rsidRDefault="007B5CB0" w:rsidP="007B5CB0">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2234ED8C" w14:textId="76C0E81D" w:rsidR="007B5CB0" w:rsidRPr="000977C6" w:rsidRDefault="007B5CB0" w:rsidP="007B5CB0">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$128,205,000 </w:t>
            </w:r>
          </w:p>
        </w:tc>
      </w:tr>
    </w:tbl>
    <w:p w14:paraId="38FE257E" w14:textId="77777777" w:rsidR="00084210" w:rsidRDefault="00084210" w:rsidP="003D6DAE"/>
    <w:p w14:paraId="351C943A" w14:textId="77777777" w:rsidR="000C74C2" w:rsidRDefault="000C74C2" w:rsidP="00B87066">
      <w:pPr>
        <w:pStyle w:val="Heading4"/>
      </w:pPr>
      <w:r>
        <w:br w:type="page"/>
      </w:r>
    </w:p>
    <w:p w14:paraId="16681E02" w14:textId="55298693" w:rsidR="00B87066" w:rsidRPr="006453C4" w:rsidRDefault="00B87066" w:rsidP="00B87066">
      <w:pPr>
        <w:pStyle w:val="Heading4"/>
      </w:pPr>
      <w:r w:rsidRPr="006453C4">
        <w:lastRenderedPageBreak/>
        <w:t xml:space="preserve">Benefit </w:t>
      </w:r>
      <w:r w:rsidR="00204C51">
        <w:t>4</w:t>
      </w:r>
      <w:r w:rsidRPr="006453C4">
        <w:t xml:space="preserve">: </w:t>
      </w:r>
      <w:r>
        <w:t>Emissions</w:t>
      </w:r>
    </w:p>
    <w:p w14:paraId="52565082" w14:textId="77777777" w:rsidR="009D71C9" w:rsidRDefault="00C34161" w:rsidP="009D71C9">
      <w:r w:rsidRPr="00DF4490">
        <w:t>The Project will install new sidewalks</w:t>
      </w:r>
      <w:r>
        <w:t xml:space="preserve"> that can accommodate both pedestrians and bicyclists,</w:t>
      </w:r>
      <w:r w:rsidRPr="00DF4490">
        <w:t xml:space="preserve"> </w:t>
      </w:r>
      <w:r>
        <w:t>t</w:t>
      </w:r>
      <w:r w:rsidRPr="00DF4490">
        <w:t xml:space="preserve">hese amenities will </w:t>
      </w:r>
      <w:r>
        <w:t xml:space="preserve">result in </w:t>
      </w:r>
      <w:r w:rsidRPr="00F139C6">
        <w:t xml:space="preserve">modal shift with a reduction in overall </w:t>
      </w:r>
      <w:r>
        <w:t>VMT.</w:t>
      </w:r>
      <w:r w:rsidR="009D71C9" w:rsidRPr="009D71C9">
        <w:t xml:space="preserve"> </w:t>
      </w:r>
    </w:p>
    <w:p w14:paraId="5534E153" w14:textId="77777777" w:rsidR="009D71C9" w:rsidRDefault="009D71C9" w:rsidP="009D71C9"/>
    <w:p w14:paraId="2E6F627B" w14:textId="545B7F70" w:rsidR="009D71C9" w:rsidRDefault="009D71C9" w:rsidP="009D71C9">
      <w:r>
        <w:t xml:space="preserve">H-GAC </w:t>
      </w:r>
      <w:r w:rsidRPr="00F63B9D">
        <w:t>models NOx</w:t>
      </w:r>
      <w:r>
        <w:t xml:space="preserve"> using the following emissions factor: </w:t>
      </w:r>
    </w:p>
    <w:p w14:paraId="0221CAA0" w14:textId="77777777" w:rsidR="009D71C9" w:rsidRDefault="009D71C9" w:rsidP="009D71C9">
      <w:pPr>
        <w:pStyle w:val="ListParagraph"/>
        <w:numPr>
          <w:ilvl w:val="0"/>
          <w:numId w:val="40"/>
        </w:numPr>
      </w:pPr>
      <w:r>
        <w:t>Nitrogen Oxides (NO</w:t>
      </w:r>
      <w:r w:rsidRPr="00DF4490">
        <w:rPr>
          <w:sz w:val="14"/>
          <w:szCs w:val="14"/>
        </w:rPr>
        <w:t>X</w:t>
      </w:r>
      <w:r>
        <w:t>): 0.19 grams (g) per VMT</w:t>
      </w:r>
    </w:p>
    <w:p w14:paraId="6567099B" w14:textId="77777777" w:rsidR="009D71C9" w:rsidRDefault="009D71C9" w:rsidP="009D71C9">
      <w:pPr>
        <w:pStyle w:val="ListParagraph"/>
      </w:pPr>
    </w:p>
    <w:p w14:paraId="3CE862F7" w14:textId="77777777" w:rsidR="009D71C9" w:rsidRDefault="009D71C9" w:rsidP="009D71C9">
      <w:r>
        <w:t xml:space="preserve">United Environmental Protection Agency (EPA) uses the following emissions factor for </w:t>
      </w:r>
      <w:r w:rsidRPr="006629CF">
        <w:t>CO</w:t>
      </w:r>
      <w:r w:rsidRPr="00B92411">
        <w:rPr>
          <w:sz w:val="14"/>
          <w:szCs w:val="14"/>
        </w:rPr>
        <w:t>2</w:t>
      </w:r>
      <w:r>
        <w:t>:</w:t>
      </w:r>
      <w:r w:rsidRPr="00527277">
        <w:rPr>
          <w:vertAlign w:val="superscript"/>
        </w:rPr>
        <w:footnoteReference w:id="5"/>
      </w:r>
      <w:r w:rsidRPr="00527277">
        <w:rPr>
          <w:vertAlign w:val="superscript"/>
        </w:rPr>
        <w:t xml:space="preserve"> </w:t>
      </w:r>
    </w:p>
    <w:p w14:paraId="3A297E8A" w14:textId="328EE877" w:rsidR="009D71C9" w:rsidRDefault="009D71C9" w:rsidP="009D71C9">
      <w:pPr>
        <w:pStyle w:val="ListParagraph"/>
        <w:numPr>
          <w:ilvl w:val="0"/>
          <w:numId w:val="40"/>
        </w:numPr>
      </w:pPr>
      <w:r>
        <w:t>C</w:t>
      </w:r>
      <w:r w:rsidRPr="006629CF">
        <w:t xml:space="preserve">arbon </w:t>
      </w:r>
      <w:r>
        <w:t>D</w:t>
      </w:r>
      <w:r w:rsidRPr="006629CF">
        <w:t>ioxide (CO</w:t>
      </w:r>
      <w:r w:rsidRPr="00CC6E73">
        <w:rPr>
          <w:sz w:val="14"/>
          <w:szCs w:val="14"/>
        </w:rPr>
        <w:t>2</w:t>
      </w:r>
      <w:r w:rsidRPr="006629CF">
        <w:t>)</w:t>
      </w:r>
      <w:r>
        <w:t xml:space="preserve">: 0.0089 metric tons per gallon of gasoline </w:t>
      </w:r>
      <w:r w:rsidR="0065535F">
        <w:t>used.</w:t>
      </w:r>
    </w:p>
    <w:p w14:paraId="64E841AF" w14:textId="77777777" w:rsidR="009D71C9" w:rsidRDefault="009D71C9" w:rsidP="009D71C9"/>
    <w:p w14:paraId="3D2CB057" w14:textId="77777777" w:rsidR="009D71C9" w:rsidRDefault="009D71C9" w:rsidP="009D71C9">
      <w:r>
        <w:t>NOx and C</w:t>
      </w:r>
      <w:r w:rsidRPr="006629CF">
        <w:t>O</w:t>
      </w:r>
      <w:r w:rsidRPr="00592A85">
        <w:rPr>
          <w:sz w:val="14"/>
          <w:szCs w:val="14"/>
        </w:rPr>
        <w:t>2</w:t>
      </w:r>
      <w:r w:rsidRPr="006629CF">
        <w:t xml:space="preserve"> </w:t>
      </w:r>
      <w:r>
        <w:t>have measurable societal economic impacts on the economy. The 2023 USDOT BCA Guide provides recommended monetized values of damage costs for NOx and C</w:t>
      </w:r>
      <w:r w:rsidRPr="006629CF">
        <w:t>O</w:t>
      </w:r>
      <w:r w:rsidRPr="000F0D7B">
        <w:rPr>
          <w:sz w:val="14"/>
          <w:szCs w:val="14"/>
        </w:rPr>
        <w:t>2</w:t>
      </w:r>
      <w:r>
        <w:rPr>
          <w:sz w:val="14"/>
          <w:szCs w:val="14"/>
        </w:rPr>
        <w:t xml:space="preserve"> </w:t>
      </w:r>
      <w:r w:rsidRPr="00592A85">
        <w:t>emissions</w:t>
      </w:r>
      <w:r>
        <w:t xml:space="preserve"> per metric ton by year between 2022 and 2050. These values are used to calculate the Project’s benefit derived from the reduction of harmful air pollutants. </w:t>
      </w:r>
    </w:p>
    <w:p w14:paraId="186C6BE6" w14:textId="77777777" w:rsidR="009D71C9" w:rsidRDefault="009D71C9" w:rsidP="009D71C9"/>
    <w:p w14:paraId="0E789A55" w14:textId="537CCABB" w:rsidR="009D71C9" w:rsidRDefault="009D71C9" w:rsidP="009D71C9">
      <w:pPr>
        <w:pStyle w:val="Caption"/>
        <w:spacing w:after="0"/>
      </w:pPr>
      <w:r w:rsidRPr="008E6195">
        <w:rPr>
          <w:b/>
          <w:bCs/>
        </w:rPr>
        <w:t xml:space="preserve">Table </w:t>
      </w:r>
      <w:r w:rsidRPr="008E6195">
        <w:rPr>
          <w:b/>
          <w:bCs/>
        </w:rPr>
        <w:fldChar w:fldCharType="begin"/>
      </w:r>
      <w:r w:rsidRPr="008E6195">
        <w:rPr>
          <w:b/>
          <w:bCs/>
        </w:rPr>
        <w:instrText xml:space="preserve"> SEQ Table \* ARABIC </w:instrText>
      </w:r>
      <w:r w:rsidRPr="008E6195">
        <w:rPr>
          <w:b/>
          <w:bCs/>
        </w:rPr>
        <w:fldChar w:fldCharType="separate"/>
      </w:r>
      <w:r w:rsidR="00A927CD">
        <w:rPr>
          <w:b/>
          <w:bCs/>
          <w:noProof/>
        </w:rPr>
        <w:t>22</w:t>
      </w:r>
      <w:r w:rsidRPr="008E6195">
        <w:rPr>
          <w:b/>
          <w:bCs/>
        </w:rPr>
        <w:fldChar w:fldCharType="end"/>
      </w:r>
      <w:r w:rsidRPr="008E6195">
        <w:rPr>
          <w:b/>
          <w:bCs/>
        </w:rPr>
        <w:t>.</w:t>
      </w:r>
      <w:r w:rsidRPr="008E6195">
        <w:t xml:space="preserve"> Emission Benefits</w:t>
      </w:r>
    </w:p>
    <w:tbl>
      <w:tblPr>
        <w:tblStyle w:val="TGCCenterAlignment"/>
        <w:tblW w:w="9355" w:type="dxa"/>
        <w:tblInd w:w="-5" w:type="dxa"/>
        <w:tblLook w:val="04A0" w:firstRow="1" w:lastRow="0" w:firstColumn="1" w:lastColumn="0" w:noHBand="0" w:noVBand="1"/>
      </w:tblPr>
      <w:tblGrid>
        <w:gridCol w:w="5760"/>
        <w:gridCol w:w="1710"/>
        <w:gridCol w:w="1885"/>
      </w:tblGrid>
      <w:tr w:rsidR="009D71C9" w14:paraId="6664D2CE"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43C55DB6" w14:textId="4E0304B8" w:rsidR="009D71C9" w:rsidRDefault="009D71C9">
            <w:pPr>
              <w:pStyle w:val="ListParagraph"/>
              <w:ind w:left="0"/>
              <w:rPr>
                <w:b w:val="0"/>
                <w:bCs w:val="0"/>
              </w:rPr>
            </w:pPr>
            <w:r>
              <w:t>Emission Calculation</w:t>
            </w:r>
          </w:p>
        </w:tc>
        <w:tc>
          <w:tcPr>
            <w:tcW w:w="1710" w:type="dxa"/>
          </w:tcPr>
          <w:p w14:paraId="05A8D6C1" w14:textId="77777777" w:rsidR="009D71C9" w:rsidRDefault="009D71C9">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3943501A" w14:textId="77777777" w:rsidR="009D71C9" w:rsidRDefault="009D71C9">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2A50CC" w14:paraId="652F72B6"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44F80F1D" w14:textId="5167ABDE" w:rsidR="002A50CC" w:rsidRDefault="002A50CC" w:rsidP="002A50CC">
            <w:pPr>
              <w:pStyle w:val="ListParagraph"/>
              <w:ind w:left="0"/>
            </w:pPr>
            <w:r>
              <w:t>Nitrogen Oxides (NO</w:t>
            </w:r>
            <w:r w:rsidRPr="00DF4490">
              <w:rPr>
                <w:sz w:val="14"/>
                <w:szCs w:val="14"/>
              </w:rPr>
              <w:t>X</w:t>
            </w:r>
            <w:r>
              <w:t>)</w:t>
            </w:r>
          </w:p>
        </w:tc>
        <w:tc>
          <w:tcPr>
            <w:tcW w:w="1710" w:type="dxa"/>
            <w:tcBorders>
              <w:bottom w:val="single" w:sz="4" w:space="0" w:color="5B9BD5" w:themeColor="accent4"/>
            </w:tcBorders>
          </w:tcPr>
          <w:p w14:paraId="7B68A30C" w14:textId="258D6E1E" w:rsidR="002A50CC" w:rsidRPr="00B81101" w:rsidRDefault="002A50CC" w:rsidP="002A50C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$1,472,000 </w:t>
            </w:r>
          </w:p>
        </w:tc>
        <w:tc>
          <w:tcPr>
            <w:tcW w:w="1885" w:type="dxa"/>
            <w:tcBorders>
              <w:bottom w:val="single" w:sz="4" w:space="0" w:color="5B9BD5" w:themeColor="accent4"/>
            </w:tcBorders>
          </w:tcPr>
          <w:p w14:paraId="7844098E" w14:textId="77CDE81C" w:rsidR="002A50CC" w:rsidRPr="00B81101" w:rsidRDefault="002A50CC" w:rsidP="002A50C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Pr>
                <w:rFonts w:ascii="Calibri" w:hAnsi="Calibri" w:cs="Calibri"/>
                <w:color w:val="000000"/>
              </w:rPr>
              <w:t xml:space="preserve">$1,663,000 </w:t>
            </w:r>
          </w:p>
        </w:tc>
      </w:tr>
      <w:tr w:rsidR="002A50CC" w14:paraId="4CB3117B"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6850A022" w14:textId="7C903233" w:rsidR="002A50CC" w:rsidRDefault="002A50CC" w:rsidP="002A50CC">
            <w:pPr>
              <w:pStyle w:val="ListParagraph"/>
              <w:ind w:left="0"/>
            </w:pPr>
            <w:r>
              <w:t>C</w:t>
            </w:r>
            <w:r w:rsidRPr="006629CF">
              <w:t xml:space="preserve">arbon </w:t>
            </w:r>
            <w:r>
              <w:t>D</w:t>
            </w:r>
            <w:r w:rsidRPr="006629CF">
              <w:t>ioxide (CO</w:t>
            </w:r>
            <w:r w:rsidRPr="00CC6E73">
              <w:rPr>
                <w:sz w:val="14"/>
                <w:szCs w:val="14"/>
              </w:rPr>
              <w:t>2</w:t>
            </w:r>
            <w:r w:rsidRPr="006629CF">
              <w:t>)</w:t>
            </w:r>
          </w:p>
        </w:tc>
        <w:tc>
          <w:tcPr>
            <w:tcW w:w="1710" w:type="dxa"/>
            <w:tcBorders>
              <w:bottom w:val="single" w:sz="4" w:space="0" w:color="5B9BD5" w:themeColor="accent4"/>
            </w:tcBorders>
          </w:tcPr>
          <w:p w14:paraId="781C2764" w14:textId="2AD08597" w:rsidR="002A50CC" w:rsidRPr="00B81101" w:rsidRDefault="002A50CC" w:rsidP="002A50C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$18,892,000 </w:t>
            </w:r>
          </w:p>
        </w:tc>
        <w:tc>
          <w:tcPr>
            <w:tcW w:w="1885" w:type="dxa"/>
            <w:tcBorders>
              <w:bottom w:val="single" w:sz="4" w:space="0" w:color="5B9BD5" w:themeColor="accent4"/>
            </w:tcBorders>
          </w:tcPr>
          <w:p w14:paraId="6B202EDF" w14:textId="02198AFE" w:rsidR="002A50CC" w:rsidRPr="00B81101" w:rsidRDefault="002A50CC" w:rsidP="002A50C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$21,541,000 </w:t>
            </w:r>
          </w:p>
        </w:tc>
      </w:tr>
      <w:tr w:rsidR="002A50CC" w:rsidRPr="005B2DD5" w14:paraId="4EAB3250" w14:textId="77777777" w:rsidTr="00E44809">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0CB267E4" w14:textId="77777777" w:rsidR="002A50CC" w:rsidRPr="005B2DD5" w:rsidRDefault="002A50CC" w:rsidP="002A50CC">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33483EE4" w14:textId="7BF4AE80" w:rsidR="002A50CC" w:rsidRPr="00E44809" w:rsidRDefault="002A50CC" w:rsidP="002A50C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color w:val="000000"/>
              </w:rPr>
              <w:t xml:space="preserve">$20,364,146 </w:t>
            </w:r>
          </w:p>
        </w:tc>
        <w:tc>
          <w:tcPr>
            <w:tcW w:w="1885" w:type="dxa"/>
            <w:tcBorders>
              <w:top w:val="double" w:sz="4" w:space="0" w:color="5B9BD5" w:themeColor="accent4"/>
              <w:bottom w:val="single" w:sz="4" w:space="0" w:color="5B9BD5" w:themeColor="accent4"/>
            </w:tcBorders>
          </w:tcPr>
          <w:p w14:paraId="75A178FB" w14:textId="04287732" w:rsidR="002A50CC" w:rsidRPr="00E44809" w:rsidRDefault="002A50CC" w:rsidP="002A50C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color w:val="000000"/>
              </w:rPr>
              <w:t xml:space="preserve">$23,204,278 </w:t>
            </w:r>
          </w:p>
        </w:tc>
      </w:tr>
      <w:tr w:rsidR="00F52428" w14:paraId="1B279A01"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18B60E17" w14:textId="3C83ABF0" w:rsidR="00F52428" w:rsidRDefault="00F52428" w:rsidP="00F52428">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1B4758D5" w14:textId="72D30FD6" w:rsidR="00F52428" w:rsidRPr="008E6195" w:rsidRDefault="00F52428" w:rsidP="00F52428">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$2,840,000 </w:t>
            </w:r>
          </w:p>
        </w:tc>
      </w:tr>
      <w:tr w:rsidR="00F52428" w:rsidRPr="007356E6" w14:paraId="70D46E64"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594BDBCC" w14:textId="6354A0DE" w:rsidR="00F52428" w:rsidRPr="007356E6" w:rsidRDefault="00F52428" w:rsidP="00F52428">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4E3C0D3B" w14:textId="5487192E" w:rsidR="00F52428" w:rsidRPr="008E6195"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$1,810,000 </w:t>
            </w:r>
          </w:p>
        </w:tc>
      </w:tr>
    </w:tbl>
    <w:p w14:paraId="71621E22" w14:textId="46BDF5F6" w:rsidR="00B87066" w:rsidRDefault="00B87066" w:rsidP="009406CD"/>
    <w:p w14:paraId="2BB65140" w14:textId="75C76BD2" w:rsidR="00F72B55" w:rsidRPr="006453C4" w:rsidRDefault="00F72B55" w:rsidP="003464E0">
      <w:pPr>
        <w:pStyle w:val="Heading4"/>
      </w:pPr>
      <w:r w:rsidRPr="006453C4">
        <w:t xml:space="preserve">Benefit </w:t>
      </w:r>
      <w:r w:rsidR="00B47556">
        <w:t>5</w:t>
      </w:r>
      <w:r w:rsidRPr="006453C4">
        <w:t>: Facility Improvements</w:t>
      </w:r>
    </w:p>
    <w:p w14:paraId="708563FE" w14:textId="331058F0" w:rsidR="00D869A8" w:rsidRDefault="00592A65" w:rsidP="00592A65">
      <w:r>
        <w:t xml:space="preserve">Improvements to pedestrian, cycling, transit facilities, and transit vehicles often provide amenities that can improve the quality and comfort of journeys made by active transportation (e.g., cyclists and pedestrians) and public transportation users. The improvements will not only benefit the existing users, but also encourage more people </w:t>
      </w:r>
      <w:r w:rsidR="00BC431B">
        <w:t>to walk</w:t>
      </w:r>
      <w:r>
        <w:t>, bik</w:t>
      </w:r>
      <w:r w:rsidR="00BC431B">
        <w:t>e</w:t>
      </w:r>
      <w:r>
        <w:t xml:space="preserve">, and </w:t>
      </w:r>
      <w:r w:rsidR="00A927CD">
        <w:t>use</w:t>
      </w:r>
      <w:r>
        <w:t xml:space="preserve"> public transit. </w:t>
      </w:r>
      <w:r w:rsidR="000C74C2">
        <w:t>The methodology used to estimate new active or public transportation demand is explained in the Major Key Data Points section on page 3. The 2023 USDOT BCA Guidance provides recommended monetized values for facility improvement benefits based on research on system users’ preferences.</w:t>
      </w:r>
    </w:p>
    <w:p w14:paraId="13C59F39" w14:textId="77777777" w:rsidR="00592A65" w:rsidRDefault="00592A65" w:rsidP="00592A65"/>
    <w:tbl>
      <w:tblPr>
        <w:tblStyle w:val="PlainTable3"/>
        <w:tblW w:w="9450" w:type="dxa"/>
        <w:tblLook w:val="04A0" w:firstRow="1" w:lastRow="0" w:firstColumn="1" w:lastColumn="0" w:noHBand="0" w:noVBand="1"/>
      </w:tblPr>
      <w:tblGrid>
        <w:gridCol w:w="9450"/>
      </w:tblGrid>
      <w:tr w:rsidR="00794C82" w:rsidRPr="00CB759F" w14:paraId="271D744F"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5CE3B82D" w14:textId="63F6B9CB" w:rsidR="00794C82" w:rsidRPr="00CB759F" w:rsidRDefault="00794C82">
            <w:pPr>
              <w:spacing w:line="276" w:lineRule="auto"/>
              <w:rPr>
                <w:b w:val="0"/>
                <w:bCs w:val="0"/>
                <w:color w:val="262626" w:themeColor="text1" w:themeTint="D9"/>
                <w:szCs w:val="20"/>
              </w:rPr>
            </w:pPr>
            <w:r w:rsidRPr="00CB759F">
              <w:rPr>
                <w:szCs w:val="20"/>
              </w:rPr>
              <w:t>Sidewalk Expansion Benefit = $0.11 * Added Width (foot) * (½ New Walking Trips) * Trip Length</w:t>
            </w:r>
          </w:p>
        </w:tc>
      </w:tr>
      <w:tr w:rsidR="00794C82" w:rsidRPr="00CB759F" w14:paraId="1CB5D28D"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3003CBFF" w14:textId="77777777" w:rsidR="00794C82" w:rsidRPr="00CB759F" w:rsidRDefault="00794C82">
            <w:pPr>
              <w:spacing w:line="276" w:lineRule="auto"/>
              <w:rPr>
                <w:szCs w:val="20"/>
              </w:rPr>
            </w:pPr>
            <w:r w:rsidRPr="00CB759F">
              <w:rPr>
                <w:szCs w:val="20"/>
              </w:rPr>
              <w:t>Trip Length = Proposed Length of Expanded Sidewalk or 0.86 Miles (whichever is smaller)</w:t>
            </w:r>
          </w:p>
        </w:tc>
      </w:tr>
    </w:tbl>
    <w:p w14:paraId="53075F66" w14:textId="77777777" w:rsidR="00794C82" w:rsidRDefault="00794C82" w:rsidP="00592A65"/>
    <w:tbl>
      <w:tblPr>
        <w:tblStyle w:val="PlainTable3"/>
        <w:tblW w:w="9450" w:type="dxa"/>
        <w:tblLook w:val="04A0" w:firstRow="1" w:lastRow="0" w:firstColumn="1" w:lastColumn="0" w:noHBand="0" w:noVBand="1"/>
      </w:tblPr>
      <w:tblGrid>
        <w:gridCol w:w="9450"/>
      </w:tblGrid>
      <w:tr w:rsidR="00B95FD7" w:rsidRPr="00CB759F" w14:paraId="2C7990D5"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148AD0D1" w14:textId="0B428740" w:rsidR="00B95FD7" w:rsidRPr="00CB759F" w:rsidRDefault="00B95FD7">
            <w:pPr>
              <w:rPr>
                <w:b w:val="0"/>
                <w:bCs w:val="0"/>
                <w:szCs w:val="20"/>
              </w:rPr>
            </w:pPr>
            <w:r w:rsidRPr="00CB759F">
              <w:rPr>
                <w:szCs w:val="20"/>
              </w:rPr>
              <w:t>Cycling Facility Improvement Benefit = Value per Cycling Mile * (½ New Cycling Trips) * Trip Length</w:t>
            </w:r>
          </w:p>
        </w:tc>
      </w:tr>
      <w:tr w:rsidR="00B95FD7" w:rsidRPr="00CB759F" w14:paraId="38A9AA6A"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4EB609FA" w14:textId="77777777" w:rsidR="00B95FD7" w:rsidRPr="00CB759F" w:rsidRDefault="00B95FD7">
            <w:pPr>
              <w:rPr>
                <w:szCs w:val="20"/>
              </w:rPr>
            </w:pPr>
            <w:r w:rsidRPr="00CB759F">
              <w:rPr>
                <w:szCs w:val="20"/>
              </w:rPr>
              <w:t>Trip Length = Proposed Cycling Facility Length or 2.38 Miles (whichever is smaller)</w:t>
            </w:r>
          </w:p>
        </w:tc>
      </w:tr>
    </w:tbl>
    <w:p w14:paraId="1149FE77" w14:textId="77777777" w:rsidR="00592A65" w:rsidRDefault="00592A65" w:rsidP="00592A65"/>
    <w:p w14:paraId="4966C65D" w14:textId="77777777" w:rsidR="00F22922" w:rsidRDefault="00F22922" w:rsidP="00592A65"/>
    <w:p w14:paraId="7AEE5D3C" w14:textId="218E5367" w:rsidR="00A962F7" w:rsidRDefault="00A962F7" w:rsidP="00A962F7">
      <w:pPr>
        <w:pStyle w:val="Caption"/>
        <w:spacing w:after="0"/>
      </w:pPr>
      <w:r w:rsidRPr="00D85C62">
        <w:rPr>
          <w:b/>
          <w:bCs/>
        </w:rPr>
        <w:lastRenderedPageBreak/>
        <w:t xml:space="preserve">Table </w:t>
      </w:r>
      <w:r w:rsidRPr="00D85C62">
        <w:rPr>
          <w:b/>
          <w:bCs/>
        </w:rPr>
        <w:fldChar w:fldCharType="begin"/>
      </w:r>
      <w:r w:rsidRPr="00D85C62">
        <w:rPr>
          <w:b/>
          <w:bCs/>
        </w:rPr>
        <w:instrText xml:space="preserve"> SEQ Table \* ARABIC </w:instrText>
      </w:r>
      <w:r w:rsidRPr="00D85C62">
        <w:rPr>
          <w:b/>
          <w:bCs/>
        </w:rPr>
        <w:fldChar w:fldCharType="separate"/>
      </w:r>
      <w:r w:rsidR="00A927CD">
        <w:rPr>
          <w:b/>
          <w:bCs/>
          <w:noProof/>
        </w:rPr>
        <w:t>23</w:t>
      </w:r>
      <w:r w:rsidRPr="00D85C62">
        <w:rPr>
          <w:b/>
          <w:bCs/>
        </w:rPr>
        <w:fldChar w:fldCharType="end"/>
      </w:r>
      <w:r w:rsidRPr="00D85C62">
        <w:rPr>
          <w:b/>
          <w:bCs/>
        </w:rPr>
        <w:t>.</w:t>
      </w:r>
      <w:r w:rsidRPr="00D85C62">
        <w:t xml:space="preserve"> </w:t>
      </w:r>
      <w:r w:rsidR="0081590C" w:rsidRPr="00D85C62">
        <w:t>Facility Improvements</w:t>
      </w:r>
      <w:r w:rsidRPr="00D85C62">
        <w:t xml:space="preserve"> Benefits</w:t>
      </w:r>
    </w:p>
    <w:tbl>
      <w:tblPr>
        <w:tblStyle w:val="TGCCenterAlignment"/>
        <w:tblW w:w="9355" w:type="dxa"/>
        <w:tblInd w:w="-5" w:type="dxa"/>
        <w:tblLook w:val="04A0" w:firstRow="1" w:lastRow="0" w:firstColumn="1" w:lastColumn="0" w:noHBand="0" w:noVBand="1"/>
      </w:tblPr>
      <w:tblGrid>
        <w:gridCol w:w="5760"/>
        <w:gridCol w:w="1710"/>
        <w:gridCol w:w="1885"/>
      </w:tblGrid>
      <w:tr w:rsidR="00A962F7" w14:paraId="273D2A4B"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257BC9EC" w14:textId="2BB22582" w:rsidR="00A962F7" w:rsidRDefault="0081590C">
            <w:pPr>
              <w:pStyle w:val="ListParagraph"/>
              <w:ind w:left="0"/>
              <w:rPr>
                <w:b w:val="0"/>
                <w:bCs w:val="0"/>
              </w:rPr>
            </w:pPr>
            <w:r>
              <w:t>Facility Improvements</w:t>
            </w:r>
            <w:r w:rsidR="00A962F7">
              <w:t xml:space="preserve"> Calculation</w:t>
            </w:r>
          </w:p>
        </w:tc>
        <w:tc>
          <w:tcPr>
            <w:tcW w:w="1710" w:type="dxa"/>
          </w:tcPr>
          <w:p w14:paraId="18FE37C8" w14:textId="77777777" w:rsidR="00A962F7" w:rsidRDefault="00A962F7">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6BAEAD59" w14:textId="77777777" w:rsidR="00A962F7" w:rsidRDefault="00A962F7">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345097" w14:paraId="0859A8EC"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08C3591" w14:textId="5A349A04" w:rsidR="00345097" w:rsidRDefault="00345097" w:rsidP="00345097">
            <w:pPr>
              <w:pStyle w:val="ListParagraph"/>
              <w:ind w:left="0"/>
            </w:pPr>
            <w:r w:rsidRPr="006E499D">
              <w:rPr>
                <w:rFonts w:ascii="Calibri" w:hAnsi="Calibri" w:cs="Calibri"/>
                <w:color w:val="000000"/>
              </w:rPr>
              <w:t>Pedestrian Facility</w:t>
            </w:r>
          </w:p>
        </w:tc>
        <w:tc>
          <w:tcPr>
            <w:tcW w:w="1710" w:type="dxa"/>
            <w:tcBorders>
              <w:bottom w:val="single" w:sz="4" w:space="0" w:color="5B9BD5" w:themeColor="accent4"/>
            </w:tcBorders>
          </w:tcPr>
          <w:p w14:paraId="4DEFEFF7" w14:textId="15C1A621" w:rsidR="00345097" w:rsidRPr="00B81101" w:rsidRDefault="009708FE" w:rsidP="0034509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N/A</w:t>
            </w:r>
            <w:r w:rsidR="00345097">
              <w:rPr>
                <w:rFonts w:ascii="Calibri" w:hAnsi="Calibri" w:cs="Calibri"/>
                <w:color w:val="000000"/>
              </w:rPr>
              <w:t xml:space="preserve"> </w:t>
            </w:r>
          </w:p>
        </w:tc>
        <w:tc>
          <w:tcPr>
            <w:tcW w:w="1885" w:type="dxa"/>
            <w:tcBorders>
              <w:bottom w:val="single" w:sz="4" w:space="0" w:color="5B9BD5" w:themeColor="accent4"/>
            </w:tcBorders>
          </w:tcPr>
          <w:p w14:paraId="08D5ACFA" w14:textId="797ECCB5" w:rsidR="00345097" w:rsidRPr="00B81101" w:rsidRDefault="00345097" w:rsidP="00345097">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Pr>
                <w:rFonts w:ascii="Calibri" w:hAnsi="Calibri" w:cs="Calibri"/>
                <w:color w:val="000000"/>
              </w:rPr>
              <w:t xml:space="preserve">$1,348,770 </w:t>
            </w:r>
          </w:p>
        </w:tc>
      </w:tr>
      <w:tr w:rsidR="00345097" w14:paraId="7AEB18A8"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72B21EC1" w14:textId="6169D57F" w:rsidR="00345097" w:rsidRDefault="00345097" w:rsidP="00345097">
            <w:pPr>
              <w:pStyle w:val="ListParagraph"/>
              <w:ind w:left="0"/>
            </w:pPr>
            <w:r w:rsidRPr="006E499D">
              <w:rPr>
                <w:rFonts w:ascii="Calibri" w:hAnsi="Calibri" w:cs="Calibri"/>
                <w:color w:val="000000"/>
              </w:rPr>
              <w:t>Bike Facility</w:t>
            </w:r>
          </w:p>
        </w:tc>
        <w:tc>
          <w:tcPr>
            <w:tcW w:w="1710" w:type="dxa"/>
            <w:tcBorders>
              <w:bottom w:val="single" w:sz="4" w:space="0" w:color="5B9BD5" w:themeColor="accent4"/>
            </w:tcBorders>
          </w:tcPr>
          <w:p w14:paraId="3652B4B8" w14:textId="41310816" w:rsidR="00345097" w:rsidRPr="00B81101" w:rsidRDefault="009708FE" w:rsidP="00345097">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N/A</w:t>
            </w:r>
          </w:p>
        </w:tc>
        <w:tc>
          <w:tcPr>
            <w:tcW w:w="1885" w:type="dxa"/>
            <w:tcBorders>
              <w:bottom w:val="single" w:sz="4" w:space="0" w:color="5B9BD5" w:themeColor="accent4"/>
            </w:tcBorders>
          </w:tcPr>
          <w:p w14:paraId="1DEBD22F" w14:textId="7AA24E53" w:rsidR="00345097" w:rsidRPr="00B81101" w:rsidRDefault="00345097" w:rsidP="00345097">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highlight w:val="yellow"/>
              </w:rPr>
            </w:pPr>
            <w:r>
              <w:rPr>
                <w:rFonts w:ascii="Calibri" w:hAnsi="Calibri" w:cs="Calibri"/>
                <w:color w:val="000000"/>
              </w:rPr>
              <w:t xml:space="preserve">$2,339,648 </w:t>
            </w:r>
          </w:p>
        </w:tc>
      </w:tr>
      <w:tr w:rsidR="00345097" w:rsidRPr="005B2DD5" w14:paraId="1A224F0A"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281DDF17" w14:textId="77777777" w:rsidR="00345097" w:rsidRPr="005B2DD5" w:rsidRDefault="00345097" w:rsidP="00345097">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1D044B27" w14:textId="2E8B0617" w:rsidR="00345097" w:rsidRPr="009708FE" w:rsidRDefault="009708FE" w:rsidP="00345097">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sidRPr="009708FE">
              <w:rPr>
                <w:rFonts w:ascii="Calibri" w:hAnsi="Calibri" w:cs="Calibri"/>
                <w:i/>
                <w:iCs/>
                <w:color w:val="000000"/>
              </w:rPr>
              <w:t>N/A</w:t>
            </w:r>
          </w:p>
        </w:tc>
        <w:tc>
          <w:tcPr>
            <w:tcW w:w="1885" w:type="dxa"/>
            <w:tcBorders>
              <w:top w:val="double" w:sz="4" w:space="0" w:color="5B9BD5" w:themeColor="accent4"/>
              <w:bottom w:val="single" w:sz="4" w:space="0" w:color="5B9BD5" w:themeColor="accent4"/>
            </w:tcBorders>
          </w:tcPr>
          <w:p w14:paraId="48C3C9D2" w14:textId="00C8CD99" w:rsidR="00345097" w:rsidRPr="00B81101" w:rsidRDefault="00345097" w:rsidP="00345097">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i/>
                <w:iCs/>
                <w:color w:val="000000"/>
              </w:rPr>
              <w:t xml:space="preserve">$3,688,418 </w:t>
            </w:r>
          </w:p>
        </w:tc>
      </w:tr>
      <w:tr w:rsidR="00D85C62" w14:paraId="24EBE159"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313EECA1" w14:textId="2319C003" w:rsidR="00D85C62" w:rsidRDefault="00D85C62" w:rsidP="00D85C62">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5608A697" w14:textId="3B40F0E8" w:rsidR="00D85C62" w:rsidRPr="00B81101" w:rsidRDefault="00D85C62" w:rsidP="00D85C62">
            <w:pPr>
              <w:cnfStyle w:val="000000010000" w:firstRow="0" w:lastRow="0" w:firstColumn="0" w:lastColumn="0" w:oddVBand="0" w:evenVBand="0" w:oddHBand="0" w:evenHBand="1"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$3,689,000 </w:t>
            </w:r>
          </w:p>
        </w:tc>
      </w:tr>
      <w:tr w:rsidR="00D85C62" w:rsidRPr="007356E6" w14:paraId="435C49C9"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0830DBCB" w14:textId="2DE8000B" w:rsidR="00D85C62" w:rsidRPr="007356E6" w:rsidRDefault="00D85C62" w:rsidP="00D85C62">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556CA0A9" w14:textId="119A087C" w:rsidR="00D85C62" w:rsidRPr="00B81101" w:rsidRDefault="00D85C62" w:rsidP="00D85C62">
            <w:pP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highlight w:val="yellow"/>
              </w:rPr>
            </w:pPr>
            <w:r>
              <w:rPr>
                <w:rFonts w:ascii="Calibri" w:hAnsi="Calibri" w:cs="Calibri"/>
                <w:b/>
                <w:bCs/>
                <w:color w:val="000000"/>
              </w:rPr>
              <w:t xml:space="preserve">$2,280,000 </w:t>
            </w:r>
          </w:p>
        </w:tc>
      </w:tr>
    </w:tbl>
    <w:p w14:paraId="6867A5E7" w14:textId="77777777" w:rsidR="00592A65" w:rsidRDefault="00592A65" w:rsidP="00592A65"/>
    <w:p w14:paraId="659ABE87" w14:textId="1C2E1884" w:rsidR="00F72B55" w:rsidRDefault="007973DE" w:rsidP="00B87066">
      <w:pPr>
        <w:pStyle w:val="Heading4"/>
      </w:pPr>
      <w:r w:rsidRPr="007973DE">
        <w:t xml:space="preserve">Benefit </w:t>
      </w:r>
      <w:r w:rsidR="000C74C2">
        <w:t>6</w:t>
      </w:r>
      <w:r w:rsidR="00F72B55" w:rsidRPr="007973DE">
        <w:t xml:space="preserve">: Mortality Reduction </w:t>
      </w:r>
    </w:p>
    <w:p w14:paraId="26315D16" w14:textId="124E4D16" w:rsidR="00D30356" w:rsidRDefault="00D30356" w:rsidP="007973DE">
      <w:r w:rsidRPr="0022440F">
        <w:t>To monetize the reduction in mortality risks associated with increased walking, the 2023 USDOT BCA Guide recommends $7.20 ($2021) per induced walking trip. This is based on the following factors: an assumed average walking speed of 3.2 miles per hour, an assumed average age of the relevant age range (20-74 years) of 45, a corresponding baseline mortality risk of 267.1 per 100,000, an annual risk reduction of 8.6 percent per daily mile walked, and an average walking trip distance of 0.86 miles. This monetized value can only be applied to trips induced from non-active transportation modes within the relevant age range.</w:t>
      </w:r>
      <w:r w:rsidRPr="00DD0BBF">
        <w:t xml:space="preserve"> </w:t>
      </w:r>
      <w:r>
        <w:t>A</w:t>
      </w:r>
      <w:r w:rsidRPr="003265E0">
        <w:t xml:space="preserve"> general assumption of </w:t>
      </w:r>
      <w:r>
        <w:t>68</w:t>
      </w:r>
      <w:r w:rsidRPr="003265E0">
        <w:t xml:space="preserve">% of overall induced trips falling into the </w:t>
      </w:r>
      <w:r>
        <w:t>walking</w:t>
      </w:r>
      <w:r w:rsidRPr="003265E0">
        <w:t xml:space="preserve"> age range</w:t>
      </w:r>
      <w:r>
        <w:t xml:space="preserve"> (20-74 years)</w:t>
      </w:r>
      <w:r w:rsidRPr="003265E0">
        <w:t>, assuming a distribution matching the national average</w:t>
      </w:r>
      <w:r>
        <w:t>, is applied in the a</w:t>
      </w:r>
      <w:r w:rsidRPr="003265E0">
        <w:t>bsen</w:t>
      </w:r>
      <w:r>
        <w:t>ce of</w:t>
      </w:r>
      <w:r w:rsidRPr="003265E0">
        <w:t xml:space="preserve"> more localized data on the proportion of the expected </w:t>
      </w:r>
      <w:r>
        <w:t>users</w:t>
      </w:r>
      <w:r w:rsidRPr="003265E0">
        <w:t xml:space="preserve"> falling into the age </w:t>
      </w:r>
      <w:r>
        <w:t>range</w:t>
      </w:r>
      <w:r w:rsidRPr="003265E0">
        <w:t>.</w:t>
      </w:r>
    </w:p>
    <w:p w14:paraId="702A7020" w14:textId="77777777" w:rsidR="008B70CD" w:rsidRDefault="008B70CD" w:rsidP="007973DE"/>
    <w:tbl>
      <w:tblPr>
        <w:tblStyle w:val="PlainTable3"/>
        <w:tblW w:w="9450" w:type="dxa"/>
        <w:tblLook w:val="04A0" w:firstRow="1" w:lastRow="0" w:firstColumn="1" w:lastColumn="0" w:noHBand="0" w:noVBand="1"/>
      </w:tblPr>
      <w:tblGrid>
        <w:gridCol w:w="9450"/>
      </w:tblGrid>
      <w:tr w:rsidR="0025368A" w:rsidRPr="00CB759F" w14:paraId="4ACFB11C"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399957F2" w14:textId="77777777" w:rsidR="0025368A" w:rsidRPr="00CB759F" w:rsidRDefault="0025368A">
            <w:pPr>
              <w:rPr>
                <w:b w:val="0"/>
                <w:bCs w:val="0"/>
                <w:szCs w:val="20"/>
              </w:rPr>
            </w:pPr>
            <w:r w:rsidRPr="00CB759F">
              <w:rPr>
                <w:szCs w:val="20"/>
              </w:rPr>
              <w:t>Mortality Reduction Benefits = Number of New Walking Trips Induced from Non-Active Transportation Modes * 68% * $7.20</w:t>
            </w:r>
          </w:p>
        </w:tc>
      </w:tr>
    </w:tbl>
    <w:p w14:paraId="25B42168" w14:textId="77777777" w:rsidR="00D30356" w:rsidRDefault="00D30356" w:rsidP="007973DE">
      <w:pPr>
        <w:rPr>
          <w:rFonts w:eastAsiaTheme="majorEastAsia" w:cstheme="majorBidi"/>
          <w:color w:val="44546A" w:themeColor="text2"/>
        </w:rPr>
      </w:pPr>
    </w:p>
    <w:p w14:paraId="137A02A4" w14:textId="6EBBB1DC" w:rsidR="008B70CD" w:rsidRDefault="008B70CD" w:rsidP="008B70CD">
      <w:pPr>
        <w:rPr>
          <w:lang w:eastAsia="zh-CN"/>
        </w:rPr>
      </w:pPr>
      <w:r>
        <w:t>The 2023 USDOT BCA Guide recommends $6.42 ($2021) per induced cycling trip to monetize</w:t>
      </w:r>
      <w:r w:rsidRPr="00073C69">
        <w:t xml:space="preserve"> reduced mortality risks associated with increased cycling</w:t>
      </w:r>
      <w:r>
        <w:t xml:space="preserve">. It is based </w:t>
      </w:r>
      <w:r w:rsidRPr="00BF51BA">
        <w:t>on an assumed average cycling speed of 9.8 miles per hour, an assumed average age of the relevant age range (20-64 years) of 42, a corresponding baseline mortality risk of 217.9 per 100,000, an annual risk reduction of 4.3 percent per daily mile cycled, and an average cycling trip distance of 2.38 miles.</w:t>
      </w:r>
      <w:r>
        <w:t xml:space="preserve"> This </w:t>
      </w:r>
      <w:r w:rsidRPr="00384AF3">
        <w:t xml:space="preserve">monetization value </w:t>
      </w:r>
      <w:r>
        <w:t>can</w:t>
      </w:r>
      <w:r w:rsidRPr="00384AF3">
        <w:t xml:space="preserve"> only </w:t>
      </w:r>
      <w:r>
        <w:t xml:space="preserve">be </w:t>
      </w:r>
      <w:r w:rsidRPr="00384AF3">
        <w:t>applied to trips induced from non-active transportation modes within the rele</w:t>
      </w:r>
      <w:r w:rsidRPr="00DB22A1">
        <w:rPr>
          <w:iCs/>
        </w:rPr>
        <w:t>vant</w:t>
      </w:r>
      <w:r w:rsidRPr="00384AF3">
        <w:t xml:space="preserve"> age ranges</w:t>
      </w:r>
      <w:r>
        <w:t>.</w:t>
      </w:r>
      <w:r w:rsidRPr="00DD0BBF">
        <w:t xml:space="preserve"> </w:t>
      </w:r>
      <w:r>
        <w:t>A</w:t>
      </w:r>
      <w:r w:rsidRPr="003265E0">
        <w:t xml:space="preserve"> general assumption of 59% of overall induced trips falling into the cycling age range</w:t>
      </w:r>
      <w:r>
        <w:t xml:space="preserve"> (20-64 years)</w:t>
      </w:r>
      <w:r w:rsidRPr="003265E0">
        <w:t>, assuming a distribution matching the national average</w:t>
      </w:r>
      <w:r>
        <w:t>, is applied in the a</w:t>
      </w:r>
      <w:r w:rsidRPr="003265E0">
        <w:t>bsen</w:t>
      </w:r>
      <w:r>
        <w:t>ce of</w:t>
      </w:r>
      <w:r w:rsidRPr="003265E0">
        <w:t xml:space="preserve"> more localized data on the proportion of the expected </w:t>
      </w:r>
      <w:r>
        <w:t>users</w:t>
      </w:r>
      <w:r w:rsidRPr="003265E0">
        <w:t xml:space="preserve"> falling into the age </w:t>
      </w:r>
      <w:r>
        <w:t>range</w:t>
      </w:r>
      <w:r>
        <w:rPr>
          <w:lang w:eastAsia="zh-CN"/>
        </w:rPr>
        <w:t xml:space="preserve">. </w:t>
      </w:r>
    </w:p>
    <w:p w14:paraId="7C418251" w14:textId="77777777" w:rsidR="008B70CD" w:rsidRDefault="008B70CD" w:rsidP="008B70CD"/>
    <w:tbl>
      <w:tblPr>
        <w:tblStyle w:val="PlainTable3"/>
        <w:tblW w:w="9450" w:type="dxa"/>
        <w:tblLook w:val="04A0" w:firstRow="1" w:lastRow="0" w:firstColumn="1" w:lastColumn="0" w:noHBand="0" w:noVBand="1"/>
      </w:tblPr>
      <w:tblGrid>
        <w:gridCol w:w="9450"/>
      </w:tblGrid>
      <w:tr w:rsidR="008B70CD" w:rsidRPr="00CB759F" w14:paraId="41BA452B"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692EC14B" w14:textId="77777777" w:rsidR="008B70CD" w:rsidRPr="00CB759F" w:rsidRDefault="008B70CD">
            <w:pPr>
              <w:rPr>
                <w:b w:val="0"/>
                <w:bCs w:val="0"/>
                <w:color w:val="262626" w:themeColor="text1" w:themeTint="D9"/>
                <w:szCs w:val="20"/>
              </w:rPr>
            </w:pPr>
            <w:r w:rsidRPr="00CB759F">
              <w:rPr>
                <w:szCs w:val="20"/>
              </w:rPr>
              <w:t>Mortality Reduction Benefits = Number of New Cycling Trips Induced from Non-Active Transportation Modes * 59% * $6.42</w:t>
            </w:r>
          </w:p>
        </w:tc>
      </w:tr>
    </w:tbl>
    <w:p w14:paraId="0B2B3417" w14:textId="77777777" w:rsidR="008B70CD" w:rsidRPr="007973DE" w:rsidRDefault="008B70CD" w:rsidP="007973DE">
      <w:pPr>
        <w:rPr>
          <w:rFonts w:eastAsiaTheme="majorEastAsia" w:cstheme="majorBidi"/>
          <w:color w:val="44546A" w:themeColor="text2"/>
        </w:rPr>
      </w:pPr>
    </w:p>
    <w:p w14:paraId="705B4013" w14:textId="3BE2CA20" w:rsidR="004203EB" w:rsidRDefault="004203EB" w:rsidP="004203EB">
      <w:pPr>
        <w:pStyle w:val="Caption"/>
        <w:spacing w:after="0"/>
      </w:pPr>
      <w:r w:rsidRPr="009A3619">
        <w:rPr>
          <w:b/>
          <w:bCs/>
        </w:rPr>
        <w:t xml:space="preserve">Table </w:t>
      </w:r>
      <w:r w:rsidRPr="009A3619">
        <w:rPr>
          <w:b/>
          <w:bCs/>
        </w:rPr>
        <w:fldChar w:fldCharType="begin"/>
      </w:r>
      <w:r w:rsidRPr="009A3619">
        <w:rPr>
          <w:b/>
          <w:bCs/>
        </w:rPr>
        <w:instrText xml:space="preserve"> SEQ Table \* ARABIC </w:instrText>
      </w:r>
      <w:r w:rsidRPr="009A3619">
        <w:rPr>
          <w:b/>
          <w:bCs/>
        </w:rPr>
        <w:fldChar w:fldCharType="separate"/>
      </w:r>
      <w:r w:rsidR="00A927CD">
        <w:rPr>
          <w:b/>
          <w:bCs/>
          <w:noProof/>
        </w:rPr>
        <w:t>24</w:t>
      </w:r>
      <w:r w:rsidRPr="009A3619">
        <w:rPr>
          <w:b/>
          <w:bCs/>
        </w:rPr>
        <w:fldChar w:fldCharType="end"/>
      </w:r>
      <w:r w:rsidRPr="009A3619">
        <w:rPr>
          <w:b/>
          <w:bCs/>
        </w:rPr>
        <w:t>.</w:t>
      </w:r>
      <w:r w:rsidRPr="009A3619">
        <w:t xml:space="preserve"> Mortality Reduction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4203EB" w14:paraId="35941128"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77B61581" w14:textId="1A919CD2" w:rsidR="004203EB" w:rsidRDefault="004203EB">
            <w:pPr>
              <w:pStyle w:val="ListParagraph"/>
              <w:ind w:left="0"/>
              <w:rPr>
                <w:b w:val="0"/>
                <w:bCs w:val="0"/>
              </w:rPr>
            </w:pPr>
            <w:r>
              <w:t>Mortality Reduction Calculation</w:t>
            </w:r>
          </w:p>
        </w:tc>
        <w:tc>
          <w:tcPr>
            <w:tcW w:w="1710" w:type="dxa"/>
          </w:tcPr>
          <w:p w14:paraId="1F63F8C4" w14:textId="77777777" w:rsidR="004203EB" w:rsidRDefault="004203EB">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594B3744" w14:textId="77777777" w:rsidR="004203EB" w:rsidRDefault="004203EB">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25309C" w14:paraId="6EAA285F"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0C630320" w14:textId="77777777" w:rsidR="0025309C" w:rsidRDefault="0025309C" w:rsidP="0025309C">
            <w:pPr>
              <w:pStyle w:val="ListParagraph"/>
              <w:ind w:left="0"/>
            </w:pPr>
            <w:r w:rsidRPr="006E499D">
              <w:rPr>
                <w:rFonts w:ascii="Calibri" w:hAnsi="Calibri" w:cs="Calibri"/>
                <w:color w:val="000000"/>
              </w:rPr>
              <w:t>Pedestrian Facility</w:t>
            </w:r>
          </w:p>
        </w:tc>
        <w:tc>
          <w:tcPr>
            <w:tcW w:w="1710" w:type="dxa"/>
            <w:tcBorders>
              <w:bottom w:val="single" w:sz="4" w:space="0" w:color="5B9BD5" w:themeColor="accent4"/>
            </w:tcBorders>
          </w:tcPr>
          <w:p w14:paraId="4D7BA310" w14:textId="25B83211" w:rsidR="0025309C" w:rsidRPr="00B81101" w:rsidRDefault="00385A22" w:rsidP="0025309C">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N/A</w:t>
            </w:r>
            <w:r w:rsidR="0025309C">
              <w:rPr>
                <w:rFonts w:ascii="Calibri" w:hAnsi="Calibri" w:cs="Calibri"/>
                <w:color w:val="000000"/>
              </w:rPr>
              <w:t xml:space="preserve"> </w:t>
            </w:r>
          </w:p>
        </w:tc>
        <w:tc>
          <w:tcPr>
            <w:tcW w:w="1885" w:type="dxa"/>
            <w:tcBorders>
              <w:bottom w:val="single" w:sz="4" w:space="0" w:color="5B9BD5" w:themeColor="accent4"/>
            </w:tcBorders>
          </w:tcPr>
          <w:p w14:paraId="1B2B7EBF" w14:textId="54669D97" w:rsidR="0025309C" w:rsidRPr="00B81101" w:rsidRDefault="0025309C" w:rsidP="0025309C">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$2,523,372 </w:t>
            </w:r>
          </w:p>
        </w:tc>
      </w:tr>
      <w:tr w:rsidR="0025309C" w14:paraId="75A8156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10DBAD31" w14:textId="77777777" w:rsidR="0025309C" w:rsidRDefault="0025309C" w:rsidP="0025309C">
            <w:pPr>
              <w:pStyle w:val="ListParagraph"/>
              <w:ind w:left="0"/>
            </w:pPr>
            <w:r w:rsidRPr="006E499D">
              <w:rPr>
                <w:rFonts w:ascii="Calibri" w:hAnsi="Calibri" w:cs="Calibri"/>
                <w:color w:val="000000"/>
              </w:rPr>
              <w:t>Bike Facility</w:t>
            </w:r>
          </w:p>
        </w:tc>
        <w:tc>
          <w:tcPr>
            <w:tcW w:w="1710" w:type="dxa"/>
            <w:tcBorders>
              <w:bottom w:val="single" w:sz="4" w:space="0" w:color="5B9BD5" w:themeColor="accent4"/>
            </w:tcBorders>
          </w:tcPr>
          <w:p w14:paraId="568FDAD6" w14:textId="221B9CD0" w:rsidR="0025309C" w:rsidRPr="00385A22" w:rsidRDefault="00385A22" w:rsidP="0025309C">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rPr>
            </w:pPr>
            <w:r w:rsidRPr="00385A22">
              <w:rPr>
                <w:rFonts w:ascii="Calibri" w:hAnsi="Calibri" w:cs="Calibri"/>
                <w:color w:val="000000"/>
              </w:rPr>
              <w:t>N/A</w:t>
            </w:r>
          </w:p>
        </w:tc>
        <w:tc>
          <w:tcPr>
            <w:tcW w:w="1885" w:type="dxa"/>
            <w:tcBorders>
              <w:bottom w:val="single" w:sz="4" w:space="0" w:color="5B9BD5" w:themeColor="accent4"/>
            </w:tcBorders>
          </w:tcPr>
          <w:p w14:paraId="67CB19C2" w14:textId="68AB5684" w:rsidR="0025309C" w:rsidRPr="00B81101" w:rsidRDefault="0025309C" w:rsidP="0025309C">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$4,705,911 </w:t>
            </w:r>
          </w:p>
        </w:tc>
      </w:tr>
      <w:tr w:rsidR="0025309C" w:rsidRPr="005B2DD5" w14:paraId="7E93437F"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4C49AF70" w14:textId="77777777" w:rsidR="0025309C" w:rsidRPr="005B2DD5" w:rsidRDefault="0025309C" w:rsidP="0025309C">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41DC3D52" w14:textId="3A273F29" w:rsidR="0025309C" w:rsidRPr="00385A22" w:rsidRDefault="00385A22" w:rsidP="0025309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rPr>
            </w:pPr>
            <w:r w:rsidRPr="00385A22">
              <w:rPr>
                <w:rFonts w:ascii="Calibri" w:hAnsi="Calibri" w:cs="Calibri"/>
                <w:i/>
                <w:iCs/>
                <w:color w:val="000000"/>
              </w:rPr>
              <w:t>N/A</w:t>
            </w:r>
          </w:p>
        </w:tc>
        <w:tc>
          <w:tcPr>
            <w:tcW w:w="1885" w:type="dxa"/>
            <w:tcBorders>
              <w:top w:val="double" w:sz="4" w:space="0" w:color="5B9BD5" w:themeColor="accent4"/>
              <w:bottom w:val="single" w:sz="4" w:space="0" w:color="5B9BD5" w:themeColor="accent4"/>
            </w:tcBorders>
          </w:tcPr>
          <w:p w14:paraId="39294044" w14:textId="224F1D97" w:rsidR="0025309C" w:rsidRPr="00B81101" w:rsidRDefault="0025309C" w:rsidP="0025309C">
            <w:pPr>
              <w:cnfStyle w:val="000000100000" w:firstRow="0" w:lastRow="0" w:firstColumn="0" w:lastColumn="0" w:oddVBand="0" w:evenVBand="0" w:oddHBand="1" w:evenHBand="0" w:firstRowFirstColumn="0" w:firstRowLastColumn="0" w:lastRowFirstColumn="0" w:lastRowLastColumn="0"/>
              <w:rPr>
                <w:rFonts w:ascii="Calibri" w:hAnsi="Calibri" w:cs="Calibri"/>
                <w:i/>
                <w:iCs/>
                <w:color w:val="000000"/>
                <w:highlight w:val="yellow"/>
              </w:rPr>
            </w:pPr>
            <w:r>
              <w:rPr>
                <w:rFonts w:ascii="Calibri" w:hAnsi="Calibri" w:cs="Calibri"/>
                <w:i/>
                <w:iCs/>
                <w:color w:val="000000"/>
              </w:rPr>
              <w:t xml:space="preserve">$7,229,283 </w:t>
            </w:r>
          </w:p>
        </w:tc>
      </w:tr>
      <w:tr w:rsidR="009A3619" w14:paraId="1FD5D555"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72915452" w14:textId="38566E61" w:rsidR="009A3619" w:rsidRDefault="009A3619" w:rsidP="009A3619">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4C5CD14A" w14:textId="1331AE37" w:rsidR="009A3619" w:rsidRPr="009A3619" w:rsidRDefault="009A3619" w:rsidP="009A3619">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sidRPr="009A3619">
              <w:rPr>
                <w:rFonts w:cstheme="minorHAnsi"/>
                <w:b/>
                <w:bCs/>
                <w:color w:val="000000"/>
              </w:rPr>
              <w:t xml:space="preserve">$7,229,000 </w:t>
            </w:r>
          </w:p>
        </w:tc>
      </w:tr>
      <w:tr w:rsidR="009A3619" w:rsidRPr="007356E6" w14:paraId="04AB0182"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6965E25C" w14:textId="66D5448B" w:rsidR="009A3619" w:rsidRPr="007356E6" w:rsidRDefault="009A3619" w:rsidP="009A3619">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04A9E461" w14:textId="1E5C4C29" w:rsidR="009A3619" w:rsidRPr="009A3619" w:rsidRDefault="009A3619" w:rsidP="009A3619">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sidRPr="009A3619">
              <w:rPr>
                <w:rFonts w:cstheme="minorHAnsi"/>
                <w:b/>
                <w:bCs/>
                <w:color w:val="000000"/>
              </w:rPr>
              <w:t xml:space="preserve">$4,469,000 </w:t>
            </w:r>
          </w:p>
        </w:tc>
      </w:tr>
    </w:tbl>
    <w:p w14:paraId="4D9E699C" w14:textId="77777777" w:rsidR="007973DE" w:rsidRPr="004203EB" w:rsidRDefault="007973DE" w:rsidP="007973DE">
      <w:pPr>
        <w:rPr>
          <w:rFonts w:eastAsiaTheme="majorEastAsia" w:cstheme="majorBidi"/>
          <w:color w:val="44546A" w:themeColor="text2"/>
        </w:rPr>
      </w:pPr>
    </w:p>
    <w:p w14:paraId="6C900324" w14:textId="5828F3BA" w:rsidR="00151830" w:rsidRPr="006453C4" w:rsidRDefault="00151830" w:rsidP="00151830">
      <w:pPr>
        <w:pStyle w:val="Heading4"/>
      </w:pPr>
      <w:r w:rsidRPr="006453C4">
        <w:t xml:space="preserve">Benefit </w:t>
      </w:r>
      <w:r w:rsidR="000C74C2">
        <w:t>7</w:t>
      </w:r>
      <w:r w:rsidRPr="006453C4">
        <w:t xml:space="preserve">: </w:t>
      </w:r>
      <w:r w:rsidR="00257E0F" w:rsidRPr="00257E0F">
        <w:t>Other Externalities</w:t>
      </w:r>
    </w:p>
    <w:p w14:paraId="15629FFE" w14:textId="2A1165F9" w:rsidR="00DE7DCE" w:rsidRDefault="00DE7DCE" w:rsidP="00DE7DCE">
      <w:pPr>
        <w:pStyle w:val="BodyText"/>
      </w:pPr>
      <w:bookmarkStart w:id="13" w:name="_Hlk113535865"/>
      <w:r>
        <w:t xml:space="preserve">The 2023 USDOT BCA Guide provides recommended monetized values for external highway use costs. The recommended costs per vehicle mile traveled including all kinds of vehicles in urban locations are $0.144 for congestion and $0.0048 for noise. </w:t>
      </w:r>
      <w:bookmarkEnd w:id="13"/>
    </w:p>
    <w:p w14:paraId="32EFC7CC" w14:textId="77777777" w:rsidR="00DE7DCE" w:rsidRDefault="00DE7DCE" w:rsidP="00DE7DCE">
      <w:pPr>
        <w:pStyle w:val="BodyText"/>
      </w:pPr>
    </w:p>
    <w:tbl>
      <w:tblPr>
        <w:tblStyle w:val="PlainTable3"/>
        <w:tblW w:w="9450" w:type="dxa"/>
        <w:tblLook w:val="04A0" w:firstRow="1" w:lastRow="0" w:firstColumn="1" w:lastColumn="0" w:noHBand="0" w:noVBand="1"/>
      </w:tblPr>
      <w:tblGrid>
        <w:gridCol w:w="9450"/>
      </w:tblGrid>
      <w:tr w:rsidR="00DE7DCE" w:rsidRPr="00CB759F" w14:paraId="4186581A" w14:textId="77777777">
        <w:trPr>
          <w:cnfStyle w:val="100000000000" w:firstRow="1" w:lastRow="0" w:firstColumn="0" w:lastColumn="0" w:oddVBand="0" w:evenVBand="0" w:oddHBand="0" w:evenHBand="0" w:firstRowFirstColumn="0" w:firstRowLastColumn="0" w:lastRowFirstColumn="0" w:lastRowLastColumn="0"/>
          <w:trHeight w:val="185"/>
        </w:trPr>
        <w:tc>
          <w:tcPr>
            <w:cnfStyle w:val="001000000100" w:firstRow="0" w:lastRow="0" w:firstColumn="1" w:lastColumn="0" w:oddVBand="0" w:evenVBand="0" w:oddHBand="0" w:evenHBand="0" w:firstRowFirstColumn="1" w:firstRowLastColumn="0" w:lastRowFirstColumn="0" w:lastRowLastColumn="0"/>
            <w:tcW w:w="9450" w:type="dxa"/>
            <w:tcBorders>
              <w:right w:val="single" w:sz="4" w:space="0" w:color="5B9BD5" w:themeColor="accent4"/>
            </w:tcBorders>
          </w:tcPr>
          <w:p w14:paraId="03A08E79" w14:textId="460E36EE" w:rsidR="00DE7DCE" w:rsidRPr="00CB759F" w:rsidRDefault="00F41E24">
            <w:pPr>
              <w:rPr>
                <w:b w:val="0"/>
                <w:bCs w:val="0"/>
                <w:color w:val="262626" w:themeColor="text1" w:themeTint="D9"/>
                <w:szCs w:val="20"/>
              </w:rPr>
            </w:pPr>
            <w:r>
              <w:rPr>
                <w:szCs w:val="20"/>
              </w:rPr>
              <w:t xml:space="preserve">Other </w:t>
            </w:r>
            <w:r w:rsidR="00DE7DCE" w:rsidRPr="00CB759F">
              <w:rPr>
                <w:szCs w:val="20"/>
              </w:rPr>
              <w:t>Externalities Reduction = VMT * ($0.144+$0.0048)</w:t>
            </w:r>
          </w:p>
        </w:tc>
      </w:tr>
      <w:tr w:rsidR="00DE7DCE" w:rsidRPr="00CB759F" w14:paraId="358A223C" w14:textId="77777777">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9450" w:type="dxa"/>
            <w:tcBorders>
              <w:right w:val="single" w:sz="4" w:space="0" w:color="5B9BD5" w:themeColor="accent4"/>
            </w:tcBorders>
          </w:tcPr>
          <w:p w14:paraId="59EEB45C" w14:textId="77777777" w:rsidR="00DE7DCE" w:rsidRPr="00CB759F" w:rsidRDefault="00DE7DCE">
            <w:pPr>
              <w:spacing w:line="276" w:lineRule="auto"/>
              <w:rPr>
                <w:szCs w:val="20"/>
              </w:rPr>
            </w:pPr>
            <w:r w:rsidRPr="00CB759F">
              <w:rPr>
                <w:szCs w:val="20"/>
              </w:rPr>
              <w:t>VMT = Vehicle Miles Traveled Reduced because of Modal Diversion</w:t>
            </w:r>
          </w:p>
        </w:tc>
      </w:tr>
    </w:tbl>
    <w:p w14:paraId="6F0483CB" w14:textId="77777777" w:rsidR="007973DE" w:rsidRDefault="007973DE" w:rsidP="007973DE">
      <w:pPr>
        <w:rPr>
          <w:rFonts w:eastAsiaTheme="majorEastAsia" w:cstheme="majorBidi"/>
          <w:i/>
          <w:iCs/>
          <w:color w:val="44546A" w:themeColor="text2"/>
        </w:rPr>
      </w:pPr>
    </w:p>
    <w:p w14:paraId="017453E8" w14:textId="6795EF98" w:rsidR="00DE7DCE" w:rsidRDefault="00DE7DCE" w:rsidP="00DE7DCE">
      <w:pPr>
        <w:pStyle w:val="Caption"/>
        <w:spacing w:after="0"/>
      </w:pPr>
      <w:r w:rsidRPr="00C77E51">
        <w:rPr>
          <w:b/>
          <w:bCs/>
        </w:rPr>
        <w:t xml:space="preserve">Table </w:t>
      </w:r>
      <w:r w:rsidRPr="00C77E51">
        <w:rPr>
          <w:b/>
          <w:bCs/>
        </w:rPr>
        <w:fldChar w:fldCharType="begin"/>
      </w:r>
      <w:r w:rsidRPr="00C77E51">
        <w:rPr>
          <w:b/>
          <w:bCs/>
        </w:rPr>
        <w:instrText xml:space="preserve"> SEQ Table \* ARABIC </w:instrText>
      </w:r>
      <w:r w:rsidRPr="00C77E51">
        <w:rPr>
          <w:b/>
          <w:bCs/>
        </w:rPr>
        <w:fldChar w:fldCharType="separate"/>
      </w:r>
      <w:r w:rsidR="00A927CD">
        <w:rPr>
          <w:b/>
          <w:bCs/>
          <w:noProof/>
        </w:rPr>
        <w:t>25</w:t>
      </w:r>
      <w:r w:rsidRPr="00C77E51">
        <w:rPr>
          <w:b/>
          <w:bCs/>
        </w:rPr>
        <w:fldChar w:fldCharType="end"/>
      </w:r>
      <w:r w:rsidRPr="00C77E51">
        <w:rPr>
          <w:b/>
          <w:bCs/>
        </w:rPr>
        <w:t>.</w:t>
      </w:r>
      <w:r w:rsidRPr="00C77E51">
        <w:t xml:space="preserve"> </w:t>
      </w:r>
      <w:r w:rsidR="00FD1AEB" w:rsidRPr="00C77E51">
        <w:t>Other Externalities</w:t>
      </w:r>
      <w:r w:rsidRPr="00C77E51">
        <w:t xml:space="preserve"> Monetized Benefits</w:t>
      </w:r>
    </w:p>
    <w:tbl>
      <w:tblPr>
        <w:tblStyle w:val="TGCCenterAlignment"/>
        <w:tblW w:w="9355" w:type="dxa"/>
        <w:tblInd w:w="-5" w:type="dxa"/>
        <w:tblLook w:val="04A0" w:firstRow="1" w:lastRow="0" w:firstColumn="1" w:lastColumn="0" w:noHBand="0" w:noVBand="1"/>
      </w:tblPr>
      <w:tblGrid>
        <w:gridCol w:w="5760"/>
        <w:gridCol w:w="1710"/>
        <w:gridCol w:w="1885"/>
      </w:tblGrid>
      <w:tr w:rsidR="00DE7DCE" w14:paraId="2250C9E6" w14:textId="77777777">
        <w:trPr>
          <w:cnfStyle w:val="100000000000" w:firstRow="1" w:lastRow="0" w:firstColumn="0" w:lastColumn="0" w:oddVBand="0" w:evenVBand="0" w:oddHBand="0" w:evenHBand="0" w:firstRowFirstColumn="0" w:firstRowLastColumn="0" w:lastRowFirstColumn="0" w:lastRowLastColumn="0"/>
          <w:trHeight w:val="257"/>
        </w:trPr>
        <w:tc>
          <w:tcPr>
            <w:cnfStyle w:val="001000000100" w:firstRow="0" w:lastRow="0" w:firstColumn="1" w:lastColumn="0" w:oddVBand="0" w:evenVBand="0" w:oddHBand="0" w:evenHBand="0" w:firstRowFirstColumn="1" w:firstRowLastColumn="0" w:lastRowFirstColumn="0" w:lastRowLastColumn="0"/>
            <w:tcW w:w="5760" w:type="dxa"/>
          </w:tcPr>
          <w:p w14:paraId="66C39BE8" w14:textId="171508B9" w:rsidR="00DE7DCE" w:rsidRDefault="00FD1AEB">
            <w:pPr>
              <w:pStyle w:val="ListParagraph"/>
              <w:ind w:left="0"/>
              <w:rPr>
                <w:b w:val="0"/>
                <w:bCs w:val="0"/>
              </w:rPr>
            </w:pPr>
            <w:r>
              <w:t>Other Externalities</w:t>
            </w:r>
            <w:r w:rsidR="00DE7DCE">
              <w:t xml:space="preserve"> Calculation</w:t>
            </w:r>
          </w:p>
        </w:tc>
        <w:tc>
          <w:tcPr>
            <w:tcW w:w="1710" w:type="dxa"/>
          </w:tcPr>
          <w:p w14:paraId="79410F10" w14:textId="77777777" w:rsidR="00DE7DCE" w:rsidRDefault="00DE7DCE">
            <w:pPr>
              <w:pStyle w:val="ListParagraph"/>
              <w:ind w:left="0"/>
              <w:cnfStyle w:val="100000000000" w:firstRow="1" w:lastRow="0" w:firstColumn="0" w:lastColumn="0" w:oddVBand="0" w:evenVBand="0" w:oddHBand="0" w:evenHBand="0" w:firstRowFirstColumn="0" w:firstRowLastColumn="0" w:lastRowFirstColumn="0" w:lastRowLastColumn="0"/>
            </w:pPr>
            <w:r>
              <w:t>No Build</w:t>
            </w:r>
          </w:p>
        </w:tc>
        <w:tc>
          <w:tcPr>
            <w:tcW w:w="1885" w:type="dxa"/>
          </w:tcPr>
          <w:p w14:paraId="4FEBC0D0" w14:textId="77777777" w:rsidR="00DE7DCE" w:rsidRDefault="00DE7DCE">
            <w:pPr>
              <w:pStyle w:val="ListParagraph"/>
              <w:ind w:left="0"/>
              <w:cnfStyle w:val="100000000000" w:firstRow="1" w:lastRow="0" w:firstColumn="0" w:lastColumn="0" w:oddVBand="0" w:evenVBand="0" w:oddHBand="0" w:evenHBand="0" w:firstRowFirstColumn="0" w:firstRowLastColumn="0" w:lastRowFirstColumn="0" w:lastRowLastColumn="0"/>
              <w:rPr>
                <w:b w:val="0"/>
                <w:bCs w:val="0"/>
              </w:rPr>
            </w:pPr>
            <w:r>
              <w:t>Build</w:t>
            </w:r>
          </w:p>
        </w:tc>
      </w:tr>
      <w:tr w:rsidR="00F52428" w14:paraId="39C462EE" w14:textId="7777777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105E4A55" w14:textId="6495E209" w:rsidR="00F52428" w:rsidRDefault="00F52428" w:rsidP="00F52428">
            <w:pPr>
              <w:pStyle w:val="ListParagraph"/>
              <w:ind w:left="0"/>
            </w:pPr>
            <w:r>
              <w:rPr>
                <w:rFonts w:ascii="Calibri" w:hAnsi="Calibri" w:cs="Calibri"/>
                <w:color w:val="000000"/>
              </w:rPr>
              <w:t>Congestion Externality</w:t>
            </w:r>
          </w:p>
        </w:tc>
        <w:tc>
          <w:tcPr>
            <w:tcW w:w="1710" w:type="dxa"/>
            <w:tcBorders>
              <w:bottom w:val="single" w:sz="4" w:space="0" w:color="5B9BD5" w:themeColor="accent4"/>
            </w:tcBorders>
          </w:tcPr>
          <w:p w14:paraId="0C566730" w14:textId="64F401AB" w:rsidR="00F52428" w:rsidRPr="00B81101" w:rsidRDefault="00F52428" w:rsidP="00F52428">
            <w:pPr>
              <w:pStyle w:val="ListParagraph"/>
              <w:ind w:left="0"/>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$4,320,000 </w:t>
            </w:r>
          </w:p>
        </w:tc>
        <w:tc>
          <w:tcPr>
            <w:tcW w:w="1885" w:type="dxa"/>
            <w:tcBorders>
              <w:bottom w:val="single" w:sz="4" w:space="0" w:color="5B9BD5" w:themeColor="accent4"/>
            </w:tcBorders>
          </w:tcPr>
          <w:p w14:paraId="69C15AC7" w14:textId="5A97F1CE" w:rsidR="00F52428" w:rsidRPr="00B81101" w:rsidRDefault="00F52428" w:rsidP="00F52428">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$5,256,000 </w:t>
            </w:r>
          </w:p>
        </w:tc>
      </w:tr>
      <w:tr w:rsidR="00F52428" w14:paraId="78FAAE11" w14:textId="7777777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bottom w:val="single" w:sz="4" w:space="0" w:color="5B9BD5" w:themeColor="accent4"/>
            </w:tcBorders>
            <w:vAlign w:val="bottom"/>
          </w:tcPr>
          <w:p w14:paraId="3E1407BF" w14:textId="487A4461" w:rsidR="00F52428" w:rsidRDefault="00F52428" w:rsidP="00F52428">
            <w:pPr>
              <w:pStyle w:val="ListParagraph"/>
              <w:ind w:left="0"/>
            </w:pPr>
            <w:r>
              <w:rPr>
                <w:rFonts w:ascii="Calibri" w:hAnsi="Calibri" w:cs="Calibri"/>
                <w:color w:val="000000"/>
              </w:rPr>
              <w:t>Noise Externality</w:t>
            </w:r>
          </w:p>
        </w:tc>
        <w:tc>
          <w:tcPr>
            <w:tcW w:w="1710" w:type="dxa"/>
            <w:tcBorders>
              <w:bottom w:val="single" w:sz="4" w:space="0" w:color="5B9BD5" w:themeColor="accent4"/>
            </w:tcBorders>
          </w:tcPr>
          <w:p w14:paraId="217A0893" w14:textId="191B1B46" w:rsidR="00F52428" w:rsidRPr="00B81101" w:rsidRDefault="00F52428" w:rsidP="00F52428">
            <w:pPr>
              <w:pStyle w:val="ListParagraph"/>
              <w:ind w:left="0"/>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$143,000 </w:t>
            </w:r>
          </w:p>
        </w:tc>
        <w:tc>
          <w:tcPr>
            <w:tcW w:w="1885" w:type="dxa"/>
            <w:tcBorders>
              <w:bottom w:val="single" w:sz="4" w:space="0" w:color="5B9BD5" w:themeColor="accent4"/>
            </w:tcBorders>
          </w:tcPr>
          <w:p w14:paraId="61A7AF3D" w14:textId="455751E6" w:rsidR="00F52428" w:rsidRPr="00B81101" w:rsidRDefault="00F52428" w:rsidP="00F52428">
            <w:pPr>
              <w:cnfStyle w:val="000000010000" w:firstRow="0" w:lastRow="0" w:firstColumn="0" w:lastColumn="0" w:oddVBand="0" w:evenVBand="0" w:oddHBand="0" w:evenHBand="1" w:firstRowFirstColumn="0" w:firstRowLastColumn="0" w:lastRowFirstColumn="0" w:lastRowLastColumn="0"/>
              <w:rPr>
                <w:rFonts w:ascii="Calibri" w:hAnsi="Calibri" w:cs="Calibri"/>
                <w:color w:val="000000"/>
                <w:highlight w:val="yellow"/>
              </w:rPr>
            </w:pPr>
            <w:r>
              <w:rPr>
                <w:rFonts w:ascii="Calibri" w:hAnsi="Calibri" w:cs="Calibri"/>
                <w:color w:val="000000"/>
              </w:rPr>
              <w:t xml:space="preserve">$174,000 </w:t>
            </w:r>
          </w:p>
        </w:tc>
      </w:tr>
      <w:tr w:rsidR="00F52428" w:rsidRPr="005B2DD5" w14:paraId="3D8EEEA6" w14:textId="7777777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bottom w:val="double" w:sz="4" w:space="0" w:color="5B9BD5" w:themeColor="accent4"/>
            </w:tcBorders>
          </w:tcPr>
          <w:p w14:paraId="43F4CC7E" w14:textId="77777777" w:rsidR="00F52428" w:rsidRPr="005B2DD5" w:rsidRDefault="00F52428" w:rsidP="00F52428">
            <w:pPr>
              <w:pStyle w:val="ListParagraph"/>
              <w:ind w:left="0"/>
              <w:rPr>
                <w:i/>
                <w:iCs/>
              </w:rPr>
            </w:pPr>
            <w:r w:rsidRPr="005B2DD5">
              <w:rPr>
                <w:i/>
                <w:iCs/>
              </w:rPr>
              <w:t>Total in Real $</w:t>
            </w:r>
          </w:p>
        </w:tc>
        <w:tc>
          <w:tcPr>
            <w:tcW w:w="1710" w:type="dxa"/>
            <w:tcBorders>
              <w:top w:val="double" w:sz="4" w:space="0" w:color="5B9BD5" w:themeColor="accent4"/>
              <w:bottom w:val="double" w:sz="4" w:space="0" w:color="5B9BD5" w:themeColor="accent4"/>
            </w:tcBorders>
          </w:tcPr>
          <w:p w14:paraId="2155E39A" w14:textId="5613185E" w:rsidR="00F52428" w:rsidRPr="000147AF"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i/>
                <w:iCs/>
                <w:color w:val="000000"/>
                <w:highlight w:val="yellow"/>
              </w:rPr>
            </w:pPr>
            <w:r>
              <w:rPr>
                <w:rFonts w:ascii="Calibri" w:hAnsi="Calibri" w:cs="Calibri"/>
                <w:i/>
                <w:iCs/>
                <w:color w:val="000000"/>
              </w:rPr>
              <w:t xml:space="preserve">$4,463,450 </w:t>
            </w:r>
          </w:p>
        </w:tc>
        <w:tc>
          <w:tcPr>
            <w:tcW w:w="1885" w:type="dxa"/>
            <w:tcBorders>
              <w:top w:val="double" w:sz="4" w:space="0" w:color="5B9BD5" w:themeColor="accent4"/>
              <w:bottom w:val="single" w:sz="4" w:space="0" w:color="5B9BD5" w:themeColor="accent4"/>
            </w:tcBorders>
          </w:tcPr>
          <w:p w14:paraId="77095F03" w14:textId="08A72C89" w:rsidR="00F52428" w:rsidRPr="000147AF"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i/>
                <w:iCs/>
                <w:color w:val="000000"/>
                <w:highlight w:val="yellow"/>
              </w:rPr>
            </w:pPr>
            <w:r>
              <w:rPr>
                <w:rFonts w:ascii="Arial" w:hAnsi="Arial" w:cs="Arial"/>
                <w:i/>
                <w:iCs/>
                <w:color w:val="000000"/>
                <w:sz w:val="20"/>
                <w:szCs w:val="20"/>
              </w:rPr>
              <w:t xml:space="preserve">$5,429,924 </w:t>
            </w:r>
          </w:p>
        </w:tc>
      </w:tr>
      <w:tr w:rsidR="00F52428" w14:paraId="5C121846" w14:textId="77777777" w:rsidTr="00A52EC7">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double" w:sz="4" w:space="0" w:color="5B9BD5" w:themeColor="accent4"/>
            </w:tcBorders>
            <w:shd w:val="clear" w:color="auto" w:fill="E7E6E6" w:themeFill="background2"/>
          </w:tcPr>
          <w:p w14:paraId="2F663A2F" w14:textId="1D1FE362" w:rsidR="00F52428" w:rsidRDefault="00F52428" w:rsidP="00F52428">
            <w:pPr>
              <w:rPr>
                <w:rFonts w:ascii="Calibri" w:hAnsi="Calibri" w:cs="Calibri"/>
                <w:b/>
              </w:rPr>
            </w:pPr>
            <w:r>
              <w:rPr>
                <w:rFonts w:ascii="Calibri" w:hAnsi="Calibri" w:cs="Calibri"/>
                <w:b/>
              </w:rPr>
              <w:t xml:space="preserve">Total Monetized Benefit </w:t>
            </w:r>
            <w:r>
              <w:rPr>
                <w:rFonts w:ascii="Calibri" w:hAnsi="Calibri" w:cs="Calibri"/>
                <w:b/>
                <w:bCs w:val="0"/>
              </w:rPr>
              <w:t xml:space="preserve">Real $ </w:t>
            </w:r>
          </w:p>
        </w:tc>
        <w:tc>
          <w:tcPr>
            <w:tcW w:w="3595" w:type="dxa"/>
            <w:gridSpan w:val="2"/>
            <w:tcBorders>
              <w:top w:val="double" w:sz="4" w:space="0" w:color="5B9BD5" w:themeColor="accent4"/>
            </w:tcBorders>
            <w:shd w:val="clear" w:color="auto" w:fill="E7E6E6" w:themeFill="background2"/>
          </w:tcPr>
          <w:p w14:paraId="7FD2FBC8" w14:textId="7426B955" w:rsidR="00F52428" w:rsidRPr="000147AF" w:rsidRDefault="00F52428" w:rsidP="00F52428">
            <w:pPr>
              <w:cnfStyle w:val="000000010000" w:firstRow="0" w:lastRow="0" w:firstColumn="0" w:lastColumn="0" w:oddVBand="0" w:evenVBand="0" w:oddHBand="0" w:evenHBand="1"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$966,000 </w:t>
            </w:r>
          </w:p>
        </w:tc>
      </w:tr>
      <w:tr w:rsidR="00F52428" w:rsidRPr="007356E6" w14:paraId="3C45229D" w14:textId="77777777" w:rsidTr="00A52EC7">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5760" w:type="dxa"/>
            <w:tcBorders>
              <w:top w:val="triple" w:sz="4" w:space="0" w:color="5B9BD5" w:themeColor="accent4"/>
            </w:tcBorders>
            <w:shd w:val="clear" w:color="auto" w:fill="E7E6E6" w:themeFill="background2"/>
          </w:tcPr>
          <w:p w14:paraId="3D3A0F92" w14:textId="0A3898FD" w:rsidR="00F52428" w:rsidRPr="007356E6" w:rsidRDefault="00F52428" w:rsidP="00F52428">
            <w:pPr>
              <w:rPr>
                <w:rFonts w:ascii="Calibri" w:hAnsi="Calibri" w:cs="Calibri"/>
                <w:b/>
              </w:rPr>
            </w:pPr>
            <w:r>
              <w:rPr>
                <w:rFonts w:ascii="Calibri" w:hAnsi="Calibri" w:cs="Calibri"/>
                <w:b/>
              </w:rPr>
              <w:t xml:space="preserve">Total Monetized Benefit </w:t>
            </w:r>
            <w:r w:rsidRPr="007356E6">
              <w:rPr>
                <w:rFonts w:ascii="Calibri" w:hAnsi="Calibri" w:cs="Calibri"/>
                <w:b/>
                <w:bCs w:val="0"/>
              </w:rPr>
              <w:t>Discounted @ 3.1%</w:t>
            </w:r>
            <w:r>
              <w:rPr>
                <w:rFonts w:ascii="Calibri" w:hAnsi="Calibri" w:cs="Calibri"/>
                <w:b/>
                <w:bCs w:val="0"/>
              </w:rPr>
              <w:t xml:space="preserve"> </w:t>
            </w:r>
          </w:p>
        </w:tc>
        <w:tc>
          <w:tcPr>
            <w:tcW w:w="3595" w:type="dxa"/>
            <w:gridSpan w:val="2"/>
            <w:tcBorders>
              <w:top w:val="triple" w:sz="4" w:space="0" w:color="5B9BD5" w:themeColor="accent4"/>
            </w:tcBorders>
            <w:shd w:val="clear" w:color="auto" w:fill="E7E6E6" w:themeFill="background2"/>
          </w:tcPr>
          <w:p w14:paraId="77741B38" w14:textId="12BF209F" w:rsidR="00F52428" w:rsidRPr="000147AF" w:rsidRDefault="00F52428" w:rsidP="00F52428">
            <w:pPr>
              <w:cnfStyle w:val="000000100000" w:firstRow="0" w:lastRow="0" w:firstColumn="0" w:lastColumn="0" w:oddVBand="0" w:evenVBand="0" w:oddHBand="1" w:evenHBand="0" w:firstRowFirstColumn="0" w:firstRowLastColumn="0" w:lastRowFirstColumn="0" w:lastRowLastColumn="0"/>
              <w:rPr>
                <w:rFonts w:cstheme="minorHAnsi"/>
                <w:b/>
                <w:bCs/>
                <w:color w:val="000000"/>
                <w:highlight w:val="yellow"/>
              </w:rPr>
            </w:pPr>
            <w:r>
              <w:rPr>
                <w:rFonts w:ascii="Arial" w:hAnsi="Arial" w:cs="Arial"/>
                <w:b/>
                <w:bCs/>
                <w:color w:val="000000"/>
                <w:sz w:val="20"/>
                <w:szCs w:val="20"/>
              </w:rPr>
              <w:t xml:space="preserve">$604,000 </w:t>
            </w:r>
          </w:p>
        </w:tc>
      </w:tr>
    </w:tbl>
    <w:p w14:paraId="24E1FB11" w14:textId="77777777" w:rsidR="007973DE" w:rsidRPr="00B50261" w:rsidRDefault="007973DE" w:rsidP="007973DE">
      <w:pPr>
        <w:rPr>
          <w:rFonts w:eastAsiaTheme="majorEastAsia" w:cstheme="majorBidi"/>
          <w:color w:val="44546A" w:themeColor="text2"/>
        </w:rPr>
      </w:pPr>
    </w:p>
    <w:p w14:paraId="5796AA00" w14:textId="77777777" w:rsidR="004948E2" w:rsidRDefault="004948E2" w:rsidP="00E1186D">
      <w:pPr>
        <w:sectPr w:rsidR="004948E2" w:rsidSect="00906726">
          <w:pgSz w:w="12240" w:h="15840"/>
          <w:pgMar w:top="1440" w:right="1440" w:bottom="1440" w:left="1440" w:header="0" w:footer="576" w:gutter="0"/>
          <w:cols w:space="720"/>
          <w:docGrid w:linePitch="360"/>
        </w:sectPr>
      </w:pPr>
    </w:p>
    <w:p w14:paraId="3233C6BB" w14:textId="77777777" w:rsidR="004948E2" w:rsidRPr="005A7026" w:rsidRDefault="004948E2" w:rsidP="004948E2">
      <w:pPr>
        <w:pStyle w:val="Heading1"/>
      </w:pPr>
      <w:r>
        <w:lastRenderedPageBreak/>
        <w:t>Summary of Benefits and Costs</w:t>
      </w:r>
    </w:p>
    <w:p w14:paraId="7C509E06" w14:textId="77777777" w:rsidR="004948E2" w:rsidRDefault="004948E2" w:rsidP="00E1186D"/>
    <w:p w14:paraId="46B6C510" w14:textId="00C6C705" w:rsidR="004948E2" w:rsidRPr="00546ECF" w:rsidRDefault="004344FE" w:rsidP="004948E2">
      <w:r>
        <w:t>The table below</w:t>
      </w:r>
      <w:r w:rsidR="004948E2">
        <w:t xml:space="preserve"> </w:t>
      </w:r>
      <w:r w:rsidR="004948E2" w:rsidRPr="00546ECF">
        <w:t>summarizes the Project benefits</w:t>
      </w:r>
      <w:r w:rsidR="004948E2">
        <w:t xml:space="preserve"> detailed above</w:t>
      </w:r>
      <w:r w:rsidR="004948E2" w:rsidRPr="00546ECF">
        <w:t xml:space="preserve">. </w:t>
      </w:r>
    </w:p>
    <w:p w14:paraId="6CB2DCDD" w14:textId="77777777" w:rsidR="004948E2" w:rsidRDefault="004948E2" w:rsidP="004948E2">
      <w:pPr>
        <w:rPr>
          <w:b/>
          <w:bCs/>
          <w:iCs/>
          <w:sz w:val="18"/>
          <w:szCs w:val="18"/>
        </w:rPr>
      </w:pPr>
    </w:p>
    <w:p w14:paraId="24CFF343" w14:textId="16D0D0DB" w:rsidR="004948E2" w:rsidRPr="00DC68F4" w:rsidRDefault="004948E2" w:rsidP="004948E2">
      <w:pPr>
        <w:pStyle w:val="Caption"/>
        <w:spacing w:after="0" w:line="276" w:lineRule="auto"/>
      </w:pPr>
      <w:r w:rsidRPr="00DC68F4">
        <w:rPr>
          <w:b/>
          <w:bCs/>
        </w:rPr>
        <w:t xml:space="preserve">Table </w:t>
      </w:r>
      <w:r w:rsidRPr="00DC68F4">
        <w:rPr>
          <w:b/>
          <w:bCs/>
          <w:i/>
          <w:noProof/>
          <w:color w:val="44546A" w:themeColor="text2"/>
        </w:rPr>
        <w:fldChar w:fldCharType="begin"/>
      </w:r>
      <w:r w:rsidRPr="00DC68F4">
        <w:rPr>
          <w:b/>
          <w:bCs/>
          <w:noProof/>
        </w:rPr>
        <w:instrText xml:space="preserve"> SEQ Table \* ARABIC </w:instrText>
      </w:r>
      <w:r w:rsidRPr="00DC68F4">
        <w:rPr>
          <w:b/>
          <w:bCs/>
          <w:i/>
          <w:noProof/>
          <w:color w:val="44546A" w:themeColor="text2"/>
        </w:rPr>
        <w:fldChar w:fldCharType="separate"/>
      </w:r>
      <w:r w:rsidR="00A927CD">
        <w:rPr>
          <w:b/>
          <w:bCs/>
          <w:noProof/>
        </w:rPr>
        <w:t>26</w:t>
      </w:r>
      <w:r w:rsidRPr="00DC68F4">
        <w:rPr>
          <w:b/>
          <w:bCs/>
          <w:i/>
          <w:noProof/>
          <w:color w:val="44546A" w:themeColor="text2"/>
        </w:rPr>
        <w:fldChar w:fldCharType="end"/>
      </w:r>
      <w:r w:rsidRPr="00DC68F4">
        <w:rPr>
          <w:i/>
          <w:noProof/>
          <w:color w:val="44546A" w:themeColor="text2"/>
        </w:rPr>
        <w:t>.</w:t>
      </w:r>
      <w:r w:rsidRPr="00DC68F4">
        <w:t xml:space="preserve"> Project Benefits Summary</w:t>
      </w:r>
    </w:p>
    <w:tbl>
      <w:tblPr>
        <w:tblStyle w:val="TGCCenterAlignment"/>
        <w:tblW w:w="5000" w:type="pct"/>
        <w:tblLayout w:type="fixed"/>
        <w:tblLook w:val="04A0" w:firstRow="1" w:lastRow="0" w:firstColumn="1" w:lastColumn="0" w:noHBand="0" w:noVBand="1"/>
      </w:tblPr>
      <w:tblGrid>
        <w:gridCol w:w="882"/>
        <w:gridCol w:w="1777"/>
        <w:gridCol w:w="2574"/>
        <w:gridCol w:w="2751"/>
        <w:gridCol w:w="2181"/>
        <w:gridCol w:w="1259"/>
        <w:gridCol w:w="1526"/>
      </w:tblGrid>
      <w:tr w:rsidR="004344FE" w:rsidRPr="00DC68F4" w14:paraId="003FF649" w14:textId="77777777" w:rsidTr="00FA6CB9">
        <w:trPr>
          <w:cnfStyle w:val="100000000000" w:firstRow="1" w:lastRow="0" w:firstColumn="0" w:lastColumn="0" w:oddVBand="0" w:evenVBand="0" w:oddHBand="0" w:evenHBand="0" w:firstRowFirstColumn="0" w:firstRowLastColumn="0" w:lastRowFirstColumn="0" w:lastRowLastColumn="0"/>
          <w:trHeight w:val="179"/>
          <w:tblHeader/>
        </w:trPr>
        <w:tc>
          <w:tcPr>
            <w:cnfStyle w:val="001000000100" w:firstRow="0" w:lastRow="0" w:firstColumn="1" w:lastColumn="0" w:oddVBand="0" w:evenVBand="0" w:oddHBand="0" w:evenHBand="0" w:firstRowFirstColumn="1" w:firstRowLastColumn="0" w:lastRowFirstColumn="0" w:lastRowLastColumn="0"/>
            <w:tcW w:w="341" w:type="pct"/>
          </w:tcPr>
          <w:p w14:paraId="0CCCEC70" w14:textId="2ACD3B78" w:rsidR="00CE0838" w:rsidRPr="00DC68F4" w:rsidRDefault="00CE0838">
            <w:pPr>
              <w:jc w:val="center"/>
            </w:pPr>
            <w:r w:rsidRPr="00DC68F4">
              <w:t>Benefit #</w:t>
            </w:r>
          </w:p>
        </w:tc>
        <w:tc>
          <w:tcPr>
            <w:tcW w:w="686" w:type="pct"/>
          </w:tcPr>
          <w:p w14:paraId="58B4173F" w14:textId="36CABD2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Benefit Name</w:t>
            </w:r>
          </w:p>
        </w:tc>
        <w:tc>
          <w:tcPr>
            <w:tcW w:w="994" w:type="pct"/>
          </w:tcPr>
          <w:p w14:paraId="0FECB7C9"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Current Status/Baseline and Problem to be Addressed</w:t>
            </w:r>
          </w:p>
        </w:tc>
        <w:tc>
          <w:tcPr>
            <w:tcW w:w="1062" w:type="pct"/>
          </w:tcPr>
          <w:p w14:paraId="07536314"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Change to Baseline or Alternatives</w:t>
            </w:r>
          </w:p>
        </w:tc>
        <w:tc>
          <w:tcPr>
            <w:tcW w:w="842" w:type="pct"/>
          </w:tcPr>
          <w:p w14:paraId="250CAD91"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Types of Impacts</w:t>
            </w:r>
          </w:p>
        </w:tc>
        <w:tc>
          <w:tcPr>
            <w:tcW w:w="486" w:type="pct"/>
          </w:tcPr>
          <w:p w14:paraId="726B4919"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$2022 Monetized</w:t>
            </w:r>
          </w:p>
          <w:p w14:paraId="18E0317B"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Value</w:t>
            </w:r>
          </w:p>
        </w:tc>
        <w:tc>
          <w:tcPr>
            <w:tcW w:w="589" w:type="pct"/>
          </w:tcPr>
          <w:p w14:paraId="6BD6F6A6"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rPr>
                <w:b w:val="0"/>
              </w:rPr>
            </w:pPr>
            <w:r w:rsidRPr="00DC68F4">
              <w:t xml:space="preserve">$2022 Real Dollars </w:t>
            </w:r>
          </w:p>
          <w:p w14:paraId="30C13CA3" w14:textId="77777777" w:rsidR="00CE0838" w:rsidRPr="00DC68F4" w:rsidRDefault="00CE0838">
            <w:pPr>
              <w:cnfStyle w:val="100000000000" w:firstRow="1" w:lastRow="0" w:firstColumn="0" w:lastColumn="0" w:oddVBand="0" w:evenVBand="0" w:oddHBand="0" w:evenHBand="0" w:firstRowFirstColumn="0" w:firstRowLastColumn="0" w:lastRowFirstColumn="0" w:lastRowLastColumn="0"/>
            </w:pPr>
            <w:r w:rsidRPr="00DC68F4">
              <w:t>3.1% Discount Rate</w:t>
            </w:r>
          </w:p>
        </w:tc>
      </w:tr>
      <w:tr w:rsidR="000E6C64" w:rsidRPr="00DC68F4" w14:paraId="4B3133EE" w14:textId="77777777">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1CB55B93" w14:textId="1AC74B93" w:rsidR="000E6C64" w:rsidRPr="00DC68F4" w:rsidRDefault="000E6C64" w:rsidP="000E6C64">
            <w:pPr>
              <w:jc w:val="center"/>
              <w:rPr>
                <w:b/>
              </w:rPr>
            </w:pPr>
            <w:r w:rsidRPr="00DC68F4">
              <w:rPr>
                <w:b/>
              </w:rPr>
              <w:t>1</w:t>
            </w:r>
          </w:p>
        </w:tc>
        <w:tc>
          <w:tcPr>
            <w:tcW w:w="686" w:type="pct"/>
          </w:tcPr>
          <w:p w14:paraId="30D8036C" w14:textId="7DC31C68"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Remaining Useful Life of Asset</w:t>
            </w:r>
          </w:p>
        </w:tc>
        <w:tc>
          <w:tcPr>
            <w:tcW w:w="994" w:type="pct"/>
          </w:tcPr>
          <w:p w14:paraId="6A0802DA" w14:textId="77777777"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The current asset has 0% remaining useful life</w:t>
            </w:r>
          </w:p>
        </w:tc>
        <w:tc>
          <w:tcPr>
            <w:tcW w:w="1062" w:type="pct"/>
          </w:tcPr>
          <w:p w14:paraId="50624B66" w14:textId="77777777"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Replace infrastructure within public right-of-way</w:t>
            </w:r>
          </w:p>
        </w:tc>
        <w:tc>
          <w:tcPr>
            <w:tcW w:w="842" w:type="pct"/>
          </w:tcPr>
          <w:p w14:paraId="65F3589A" w14:textId="77777777"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sidRPr="00DC68F4">
              <w:t>Extend useful life</w:t>
            </w:r>
          </w:p>
        </w:tc>
        <w:tc>
          <w:tcPr>
            <w:tcW w:w="486" w:type="pct"/>
          </w:tcPr>
          <w:p w14:paraId="439AEFE6" w14:textId="18AF0772"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$25,554,000 </w:t>
            </w:r>
          </w:p>
        </w:tc>
        <w:tc>
          <w:tcPr>
            <w:tcW w:w="589" w:type="pct"/>
          </w:tcPr>
          <w:p w14:paraId="29F2303C" w14:textId="3730767F" w:rsidR="000E6C64" w:rsidRPr="00DC68F4" w:rsidRDefault="000E6C64" w:rsidP="000E6C64">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$11,912,000 </w:t>
            </w:r>
          </w:p>
        </w:tc>
      </w:tr>
      <w:tr w:rsidR="000E6C64" w:rsidRPr="00DC68F4" w14:paraId="58549139" w14:textId="77777777" w:rsidTr="005E5001">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3C5A39C1" w14:textId="6AAB080A" w:rsidR="000E6C64" w:rsidRPr="00DC68F4" w:rsidRDefault="000E6C64" w:rsidP="000E6C64">
            <w:pPr>
              <w:jc w:val="center"/>
              <w:rPr>
                <w:b/>
              </w:rPr>
            </w:pPr>
            <w:r w:rsidRPr="00DC68F4">
              <w:rPr>
                <w:b/>
              </w:rPr>
              <w:t>2</w:t>
            </w:r>
          </w:p>
        </w:tc>
        <w:tc>
          <w:tcPr>
            <w:tcW w:w="686" w:type="pct"/>
          </w:tcPr>
          <w:p w14:paraId="69B5451B" w14:textId="4125C654"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State of Good Repair</w:t>
            </w:r>
          </w:p>
        </w:tc>
        <w:tc>
          <w:tcPr>
            <w:tcW w:w="994" w:type="pct"/>
          </w:tcPr>
          <w:p w14:paraId="6A29063B" w14:textId="77777777"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Ongoing expensive maintenance of roadway pavement</w:t>
            </w:r>
          </w:p>
        </w:tc>
        <w:tc>
          <w:tcPr>
            <w:tcW w:w="1062" w:type="pct"/>
          </w:tcPr>
          <w:p w14:paraId="42E0F514" w14:textId="77777777"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Low maintenance required of new facility through the planning horizon</w:t>
            </w:r>
          </w:p>
        </w:tc>
        <w:tc>
          <w:tcPr>
            <w:tcW w:w="842" w:type="pct"/>
          </w:tcPr>
          <w:p w14:paraId="4B26CC78" w14:textId="77777777"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sidRPr="00DC68F4">
              <w:t>Maintenance cost savings</w:t>
            </w:r>
          </w:p>
        </w:tc>
        <w:tc>
          <w:tcPr>
            <w:tcW w:w="486" w:type="pct"/>
          </w:tcPr>
          <w:p w14:paraId="2A7EE705" w14:textId="5513059D"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$17,402,000 </w:t>
            </w:r>
          </w:p>
        </w:tc>
        <w:tc>
          <w:tcPr>
            <w:tcW w:w="589" w:type="pct"/>
          </w:tcPr>
          <w:p w14:paraId="617172F8" w14:textId="73390285" w:rsidR="000E6C64" w:rsidRPr="00DC68F4" w:rsidRDefault="000E6C64" w:rsidP="000E6C64">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$10,008,000 </w:t>
            </w:r>
          </w:p>
        </w:tc>
      </w:tr>
      <w:tr w:rsidR="00E56510" w:rsidRPr="00DC68F4" w14:paraId="7F2119CA" w14:textId="77777777" w:rsidTr="005E500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430D12C5" w14:textId="3E6045F8" w:rsidR="00E56510" w:rsidRPr="00DC68F4" w:rsidRDefault="00E56510" w:rsidP="00E56510">
            <w:pPr>
              <w:jc w:val="center"/>
              <w:rPr>
                <w:b/>
                <w:bCs w:val="0"/>
              </w:rPr>
            </w:pPr>
            <w:r w:rsidRPr="00DC68F4">
              <w:rPr>
                <w:b/>
                <w:bCs w:val="0"/>
              </w:rPr>
              <w:t>3</w:t>
            </w:r>
          </w:p>
        </w:tc>
        <w:tc>
          <w:tcPr>
            <w:tcW w:w="686" w:type="pct"/>
          </w:tcPr>
          <w:p w14:paraId="3F541E95" w14:textId="5B240712"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Safety Benefits</w:t>
            </w:r>
          </w:p>
        </w:tc>
        <w:tc>
          <w:tcPr>
            <w:tcW w:w="994" w:type="pct"/>
          </w:tcPr>
          <w:p w14:paraId="19262308" w14:textId="7777777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Outdated design, disproportionally higher crash rates</w:t>
            </w:r>
          </w:p>
        </w:tc>
        <w:tc>
          <w:tcPr>
            <w:tcW w:w="1062" w:type="pct"/>
          </w:tcPr>
          <w:p w14:paraId="671AA8C5" w14:textId="7777777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Safety improvement resulting in reduction in traffic crashes</w:t>
            </w:r>
          </w:p>
        </w:tc>
        <w:tc>
          <w:tcPr>
            <w:tcW w:w="842" w:type="pct"/>
          </w:tcPr>
          <w:p w14:paraId="04C9769F" w14:textId="7777777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Reduced crashes resulting in reduced fatalities and injuries</w:t>
            </w:r>
          </w:p>
        </w:tc>
        <w:tc>
          <w:tcPr>
            <w:tcW w:w="486" w:type="pct"/>
          </w:tcPr>
          <w:p w14:paraId="3FD85833" w14:textId="36A939E1"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$193,491,000 </w:t>
            </w:r>
          </w:p>
        </w:tc>
        <w:tc>
          <w:tcPr>
            <w:tcW w:w="589" w:type="pct"/>
          </w:tcPr>
          <w:p w14:paraId="69BC7D55" w14:textId="4591ECEC"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$128,205,000 </w:t>
            </w:r>
          </w:p>
        </w:tc>
      </w:tr>
      <w:tr w:rsidR="001F6E12" w:rsidRPr="00DC68F4" w14:paraId="52F0F071" w14:textId="77777777" w:rsidTr="005E5001">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32F96C28" w14:textId="0DA27FD8" w:rsidR="001F6E12" w:rsidRPr="007A1B99" w:rsidRDefault="001F6E12" w:rsidP="001F6E12">
            <w:pPr>
              <w:jc w:val="center"/>
              <w:rPr>
                <w:b/>
                <w:bCs w:val="0"/>
              </w:rPr>
            </w:pPr>
            <w:r>
              <w:rPr>
                <w:b/>
              </w:rPr>
              <w:t>4</w:t>
            </w:r>
          </w:p>
        </w:tc>
        <w:tc>
          <w:tcPr>
            <w:tcW w:w="686" w:type="pct"/>
          </w:tcPr>
          <w:p w14:paraId="33E75A83" w14:textId="20093565"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Emissions Reduction</w:t>
            </w:r>
          </w:p>
        </w:tc>
        <w:tc>
          <w:tcPr>
            <w:tcW w:w="994" w:type="pct"/>
          </w:tcPr>
          <w:p w14:paraId="4D881E71" w14:textId="7F70765C"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 xml:space="preserve">The current facilities are not conductive for active transportation </w:t>
            </w:r>
          </w:p>
        </w:tc>
        <w:tc>
          <w:tcPr>
            <w:tcW w:w="1062" w:type="pct"/>
          </w:tcPr>
          <w:p w14:paraId="7A04C07F" w14:textId="1399697C"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Improvements to the existing facilities will induce demand for walking and biking</w:t>
            </w:r>
          </w:p>
        </w:tc>
        <w:tc>
          <w:tcPr>
            <w:tcW w:w="842" w:type="pct"/>
          </w:tcPr>
          <w:p w14:paraId="2359B41C" w14:textId="17C3B66A"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sidRPr="00DC68F4">
              <w:t>Reduced emission derived from modal shift from driving personal vehicles to walking and biking</w:t>
            </w:r>
          </w:p>
        </w:tc>
        <w:tc>
          <w:tcPr>
            <w:tcW w:w="486" w:type="pct"/>
          </w:tcPr>
          <w:p w14:paraId="435F6645" w14:textId="0C40F50A"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$2,840,100 </w:t>
            </w:r>
          </w:p>
        </w:tc>
        <w:tc>
          <w:tcPr>
            <w:tcW w:w="589" w:type="pct"/>
          </w:tcPr>
          <w:p w14:paraId="3DE34593" w14:textId="687C358D" w:rsidR="001F6E12" w:rsidRPr="00DC68F4" w:rsidRDefault="001F6E12" w:rsidP="001F6E12">
            <w:pPr>
              <w:cnfStyle w:val="000000010000" w:firstRow="0" w:lastRow="0" w:firstColumn="0" w:lastColumn="0" w:oddVBand="0" w:evenVBand="0" w:oddHBand="0" w:evenHBand="1" w:firstRowFirstColumn="0" w:firstRowLastColumn="0" w:lastRowFirstColumn="0" w:lastRowLastColumn="0"/>
            </w:pPr>
            <w:r>
              <w:rPr>
                <w:rFonts w:ascii="Calibri" w:hAnsi="Calibri" w:cs="Calibri"/>
                <w:color w:val="000000"/>
              </w:rPr>
              <w:t xml:space="preserve">$1,809,900 </w:t>
            </w:r>
          </w:p>
        </w:tc>
      </w:tr>
      <w:tr w:rsidR="00E56510" w:rsidRPr="00DC68F4" w14:paraId="6D7F8928" w14:textId="77777777" w:rsidTr="005E500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ECD9B35" w14:textId="17F35F26" w:rsidR="00E56510" w:rsidRPr="00DC68F4" w:rsidRDefault="00E56510" w:rsidP="00E56510">
            <w:pPr>
              <w:jc w:val="center"/>
              <w:rPr>
                <w:b/>
              </w:rPr>
            </w:pPr>
            <w:r>
              <w:rPr>
                <w:b/>
              </w:rPr>
              <w:t>5</w:t>
            </w:r>
          </w:p>
        </w:tc>
        <w:tc>
          <w:tcPr>
            <w:tcW w:w="686" w:type="pct"/>
          </w:tcPr>
          <w:p w14:paraId="0045094E" w14:textId="1C522C99"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Facility Improvements</w:t>
            </w:r>
          </w:p>
        </w:tc>
        <w:tc>
          <w:tcPr>
            <w:tcW w:w="994" w:type="pct"/>
          </w:tcPr>
          <w:p w14:paraId="7382982D" w14:textId="29304ACF"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The current facilities are not conductive for active transportation or using transit</w:t>
            </w:r>
          </w:p>
        </w:tc>
        <w:tc>
          <w:tcPr>
            <w:tcW w:w="1062" w:type="pct"/>
          </w:tcPr>
          <w:p w14:paraId="7414E1F1" w14:textId="3CB2A4F1"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Improvements to the current facilities will improve the quality or comfort of journeys</w:t>
            </w:r>
          </w:p>
        </w:tc>
        <w:tc>
          <w:tcPr>
            <w:tcW w:w="842" w:type="pct"/>
          </w:tcPr>
          <w:p w14:paraId="602CE2D8" w14:textId="2C6E7ECE"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sidRPr="00DC68F4">
              <w:t>Improved comfort for active transportation and public transportation users</w:t>
            </w:r>
          </w:p>
        </w:tc>
        <w:tc>
          <w:tcPr>
            <w:tcW w:w="486" w:type="pct"/>
          </w:tcPr>
          <w:p w14:paraId="350761E5" w14:textId="1772573E"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$3,689,000 </w:t>
            </w:r>
          </w:p>
        </w:tc>
        <w:tc>
          <w:tcPr>
            <w:tcW w:w="589" w:type="pct"/>
          </w:tcPr>
          <w:p w14:paraId="77435778" w14:textId="7299DCD7" w:rsidR="00E56510" w:rsidRPr="00DC68F4" w:rsidRDefault="00E56510" w:rsidP="00E56510">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$2,280,000 </w:t>
            </w:r>
          </w:p>
        </w:tc>
      </w:tr>
      <w:tr w:rsidR="007B5438" w:rsidRPr="00DC68F4" w14:paraId="64169C60" w14:textId="77777777" w:rsidTr="005E5001">
        <w:trPr>
          <w:cnfStyle w:val="000000010000" w:firstRow="0" w:lastRow="0" w:firstColumn="0" w:lastColumn="0" w:oddVBand="0" w:evenVBand="0" w:oddHBand="0" w:evenHBand="1"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41" w:type="pct"/>
          </w:tcPr>
          <w:p w14:paraId="7033B753" w14:textId="0B7ADB9C" w:rsidR="007B5438" w:rsidRPr="00DC68F4" w:rsidRDefault="007A1B99" w:rsidP="007B5438">
            <w:pPr>
              <w:jc w:val="center"/>
              <w:rPr>
                <w:b/>
              </w:rPr>
            </w:pPr>
            <w:r>
              <w:rPr>
                <w:b/>
              </w:rPr>
              <w:t>6</w:t>
            </w:r>
          </w:p>
        </w:tc>
        <w:tc>
          <w:tcPr>
            <w:tcW w:w="686" w:type="pct"/>
          </w:tcPr>
          <w:p w14:paraId="50BDB965" w14:textId="1785B94F"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rPr>
                <w:color w:val="262626" w:themeColor="text1" w:themeTint="D9"/>
              </w:rPr>
            </w:pPr>
            <w:r w:rsidRPr="00DC68F4">
              <w:t>Mortality Reduction Benefits</w:t>
            </w:r>
          </w:p>
        </w:tc>
        <w:tc>
          <w:tcPr>
            <w:tcW w:w="994" w:type="pct"/>
          </w:tcPr>
          <w:p w14:paraId="197E26E5" w14:textId="77777777"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t>Roadway is not conducive for active transportation.</w:t>
            </w:r>
          </w:p>
          <w:p w14:paraId="17A6D272" w14:textId="77777777"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p>
        </w:tc>
        <w:tc>
          <w:tcPr>
            <w:tcW w:w="1062" w:type="pct"/>
          </w:tcPr>
          <w:p w14:paraId="75E41C2E" w14:textId="2D13EA2E"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t xml:space="preserve">New and improved active transportation facilities will encourage more </w:t>
            </w:r>
            <w:r w:rsidR="00617B96" w:rsidRPr="00DC68F4">
              <w:t>walking</w:t>
            </w:r>
            <w:r w:rsidR="00617B96">
              <w:t xml:space="preserve">, </w:t>
            </w:r>
            <w:r w:rsidR="00617B96" w:rsidRPr="00DC68F4">
              <w:t>cycling</w:t>
            </w:r>
            <w:r w:rsidR="00617B96">
              <w:t xml:space="preserve"> and transit</w:t>
            </w:r>
          </w:p>
        </w:tc>
        <w:tc>
          <w:tcPr>
            <w:tcW w:w="842" w:type="pct"/>
          </w:tcPr>
          <w:p w14:paraId="4B19F677" w14:textId="77777777" w:rsidR="007B5438" w:rsidRPr="00DC68F4" w:rsidRDefault="007B5438" w:rsidP="007B5438">
            <w:pPr>
              <w:keepNext/>
              <w:cnfStyle w:val="000000010000" w:firstRow="0" w:lastRow="0" w:firstColumn="0" w:lastColumn="0" w:oddVBand="0" w:evenVBand="0" w:oddHBand="0" w:evenHBand="1" w:firstRowFirstColumn="0" w:firstRowLastColumn="0" w:lastRowFirstColumn="0" w:lastRowLastColumn="0"/>
            </w:pPr>
            <w:r w:rsidRPr="00DC68F4">
              <w:t>Reduced mortality risks</w:t>
            </w:r>
            <w:r w:rsidRPr="00DC68F4">
              <w:br/>
              <w:t>associated with increased walking and cycling</w:t>
            </w:r>
          </w:p>
        </w:tc>
        <w:tc>
          <w:tcPr>
            <w:tcW w:w="486" w:type="pct"/>
          </w:tcPr>
          <w:p w14:paraId="3E11007B" w14:textId="5C2A3766"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rPr>
                <w:rFonts w:ascii="Calibri" w:hAnsi="Calibri" w:cs="Calibri"/>
                <w:color w:val="000000"/>
              </w:rPr>
              <w:t>$</w:t>
            </w:r>
            <w:r w:rsidR="00FA4ACA">
              <w:rPr>
                <w:rFonts w:ascii="Calibri" w:hAnsi="Calibri" w:cs="Calibri"/>
                <w:color w:val="000000"/>
              </w:rPr>
              <w:t>7,229</w:t>
            </w:r>
            <w:r w:rsidRPr="00DC68F4">
              <w:rPr>
                <w:rFonts w:ascii="Calibri" w:hAnsi="Calibri" w:cs="Calibri"/>
                <w:color w:val="000000"/>
              </w:rPr>
              <w:t xml:space="preserve">,000 </w:t>
            </w:r>
          </w:p>
        </w:tc>
        <w:tc>
          <w:tcPr>
            <w:tcW w:w="589" w:type="pct"/>
          </w:tcPr>
          <w:p w14:paraId="2D4C52F0" w14:textId="3CE3B6B6" w:rsidR="007B5438" w:rsidRPr="00DC68F4" w:rsidRDefault="007B5438" w:rsidP="007B5438">
            <w:pPr>
              <w:cnfStyle w:val="000000010000" w:firstRow="0" w:lastRow="0" w:firstColumn="0" w:lastColumn="0" w:oddVBand="0" w:evenVBand="0" w:oddHBand="0" w:evenHBand="1" w:firstRowFirstColumn="0" w:firstRowLastColumn="0" w:lastRowFirstColumn="0" w:lastRowLastColumn="0"/>
            </w:pPr>
            <w:r w:rsidRPr="00DC68F4">
              <w:rPr>
                <w:rFonts w:ascii="Calibri" w:hAnsi="Calibri" w:cs="Calibri"/>
                <w:color w:val="000000"/>
              </w:rPr>
              <w:t>$</w:t>
            </w:r>
            <w:r w:rsidR="00FA4ACA">
              <w:rPr>
                <w:rFonts w:ascii="Calibri" w:hAnsi="Calibri" w:cs="Calibri"/>
                <w:color w:val="000000"/>
              </w:rPr>
              <w:t>4,469</w:t>
            </w:r>
            <w:r w:rsidRPr="00DC68F4">
              <w:rPr>
                <w:rFonts w:ascii="Calibri" w:hAnsi="Calibri" w:cs="Calibri"/>
                <w:color w:val="000000"/>
              </w:rPr>
              <w:t xml:space="preserve">,000 </w:t>
            </w:r>
          </w:p>
        </w:tc>
      </w:tr>
      <w:tr w:rsidR="001F6E12" w:rsidRPr="00DC68F4" w14:paraId="733C3698" w14:textId="77777777" w:rsidTr="005E5001">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41" w:type="pct"/>
          </w:tcPr>
          <w:p w14:paraId="6B7A62FA" w14:textId="71A353EF" w:rsidR="001F6E12" w:rsidRPr="00DC68F4" w:rsidRDefault="001F6E12" w:rsidP="001F6E12">
            <w:pPr>
              <w:jc w:val="center"/>
              <w:rPr>
                <w:b/>
              </w:rPr>
            </w:pPr>
            <w:r>
              <w:rPr>
                <w:b/>
              </w:rPr>
              <w:lastRenderedPageBreak/>
              <w:t>7</w:t>
            </w:r>
          </w:p>
        </w:tc>
        <w:tc>
          <w:tcPr>
            <w:tcW w:w="686" w:type="pct"/>
          </w:tcPr>
          <w:p w14:paraId="5279EAE3" w14:textId="0E9B786E"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sidRPr="00DC68F4">
              <w:rPr>
                <w:rFonts w:cstheme="minorHAnsi"/>
              </w:rPr>
              <w:t>Externalities Reduction</w:t>
            </w:r>
          </w:p>
        </w:tc>
        <w:tc>
          <w:tcPr>
            <w:tcW w:w="994" w:type="pct"/>
          </w:tcPr>
          <w:p w14:paraId="2A34E267" w14:textId="68BE17EC"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sidRPr="00DC68F4">
              <w:t>Roadway is not conducive for active transportation.</w:t>
            </w:r>
          </w:p>
        </w:tc>
        <w:tc>
          <w:tcPr>
            <w:tcW w:w="1062" w:type="pct"/>
          </w:tcPr>
          <w:p w14:paraId="49DE5E63" w14:textId="001A1B3B"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sidRPr="00DC68F4">
              <w:t>New and improved facilities will encourage more walking</w:t>
            </w:r>
            <w:r>
              <w:t xml:space="preserve">, </w:t>
            </w:r>
            <w:r w:rsidRPr="00DC68F4">
              <w:t>cycling</w:t>
            </w:r>
            <w:r>
              <w:t xml:space="preserve"> and transit</w:t>
            </w:r>
          </w:p>
        </w:tc>
        <w:tc>
          <w:tcPr>
            <w:tcW w:w="842" w:type="pct"/>
          </w:tcPr>
          <w:p w14:paraId="72D7D50D" w14:textId="53327909" w:rsidR="001F6E12" w:rsidRPr="00DC68F4" w:rsidRDefault="001F6E12" w:rsidP="001F6E12">
            <w:pPr>
              <w:keepNext/>
              <w:cnfStyle w:val="000000100000" w:firstRow="0" w:lastRow="0" w:firstColumn="0" w:lastColumn="0" w:oddVBand="0" w:evenVBand="0" w:oddHBand="1" w:evenHBand="0" w:firstRowFirstColumn="0" w:firstRowLastColumn="0" w:lastRowFirstColumn="0" w:lastRowLastColumn="0"/>
            </w:pPr>
            <w:r w:rsidRPr="00DC68F4">
              <w:t>Reduced various externalities</w:t>
            </w:r>
          </w:p>
        </w:tc>
        <w:tc>
          <w:tcPr>
            <w:tcW w:w="486" w:type="pct"/>
          </w:tcPr>
          <w:p w14:paraId="5D1552CD" w14:textId="404832A4"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$966,500 </w:t>
            </w:r>
          </w:p>
        </w:tc>
        <w:tc>
          <w:tcPr>
            <w:tcW w:w="589" w:type="pct"/>
          </w:tcPr>
          <w:p w14:paraId="16165EB6" w14:textId="17774CD3" w:rsidR="001F6E12" w:rsidRPr="00DC68F4" w:rsidRDefault="001F6E12" w:rsidP="001F6E12">
            <w:pPr>
              <w:cnfStyle w:val="000000100000" w:firstRow="0" w:lastRow="0" w:firstColumn="0" w:lastColumn="0" w:oddVBand="0" w:evenVBand="0" w:oddHBand="1" w:evenHBand="0" w:firstRowFirstColumn="0" w:firstRowLastColumn="0" w:lastRowFirstColumn="0" w:lastRowLastColumn="0"/>
            </w:pPr>
            <w:r>
              <w:rPr>
                <w:rFonts w:ascii="Calibri" w:hAnsi="Calibri" w:cs="Calibri"/>
                <w:color w:val="000000"/>
              </w:rPr>
              <w:t xml:space="preserve">$604,200 </w:t>
            </w:r>
          </w:p>
        </w:tc>
      </w:tr>
      <w:tr w:rsidR="001F6E12" w:rsidRPr="008B2B7F" w14:paraId="0327368B" w14:textId="77777777" w:rsidTr="005E5001">
        <w:trPr>
          <w:cnfStyle w:val="000000010000" w:firstRow="0" w:lastRow="0" w:firstColumn="0" w:lastColumn="0" w:oddVBand="0" w:evenVBand="0" w:oddHBand="0" w:evenHBand="1"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925" w:type="pct"/>
            <w:gridSpan w:val="5"/>
          </w:tcPr>
          <w:p w14:paraId="64CB3D32" w14:textId="79BF5652" w:rsidR="001F6E12" w:rsidRPr="00DC68F4" w:rsidRDefault="001F6E12" w:rsidP="001F6E12">
            <w:pPr>
              <w:keepNext/>
            </w:pPr>
            <w:r w:rsidRPr="00DC68F4">
              <w:rPr>
                <w:b/>
              </w:rPr>
              <w:t>Totals</w:t>
            </w:r>
          </w:p>
        </w:tc>
        <w:tc>
          <w:tcPr>
            <w:tcW w:w="486" w:type="pct"/>
          </w:tcPr>
          <w:p w14:paraId="63F789FE" w14:textId="0F2A0FC4" w:rsidR="001F6E12" w:rsidRPr="008B4AD7" w:rsidRDefault="001F6E12" w:rsidP="001F6E12">
            <w:pPr>
              <w:cnfStyle w:val="000000010000" w:firstRow="0" w:lastRow="0" w:firstColumn="0" w:lastColumn="0" w:oddVBand="0" w:evenVBand="0" w:oddHBand="0" w:evenHBand="1" w:firstRowFirstColumn="0" w:firstRowLastColumn="0" w:lastRowFirstColumn="0" w:lastRowLastColumn="0"/>
              <w:rPr>
                <w:rFonts w:cstheme="minorHAnsi"/>
              </w:rPr>
            </w:pPr>
            <w:r>
              <w:rPr>
                <w:rFonts w:ascii="Arial" w:hAnsi="Arial" w:cs="Arial"/>
                <w:b/>
                <w:bCs/>
                <w:color w:val="000000"/>
                <w:sz w:val="20"/>
                <w:szCs w:val="20"/>
              </w:rPr>
              <w:t xml:space="preserve">$251,172,700 </w:t>
            </w:r>
          </w:p>
        </w:tc>
        <w:tc>
          <w:tcPr>
            <w:tcW w:w="589" w:type="pct"/>
          </w:tcPr>
          <w:p w14:paraId="2A75C585" w14:textId="60F47632" w:rsidR="001F6E12" w:rsidRPr="008B4AD7" w:rsidRDefault="001F6E12" w:rsidP="001F6E12">
            <w:pPr>
              <w:cnfStyle w:val="000000010000" w:firstRow="0" w:lastRow="0" w:firstColumn="0" w:lastColumn="0" w:oddVBand="0" w:evenVBand="0" w:oddHBand="0" w:evenHBand="1" w:firstRowFirstColumn="0" w:firstRowLastColumn="0" w:lastRowFirstColumn="0" w:lastRowLastColumn="0"/>
              <w:rPr>
                <w:rFonts w:cstheme="minorHAnsi"/>
              </w:rPr>
            </w:pPr>
            <w:r>
              <w:rPr>
                <w:rFonts w:ascii="Arial" w:hAnsi="Arial" w:cs="Arial"/>
                <w:b/>
                <w:bCs/>
                <w:color w:val="000000"/>
                <w:sz w:val="20"/>
                <w:szCs w:val="20"/>
              </w:rPr>
              <w:t xml:space="preserve">$159,289,100 </w:t>
            </w:r>
          </w:p>
        </w:tc>
      </w:tr>
    </w:tbl>
    <w:p w14:paraId="7A29D91E" w14:textId="77777777" w:rsidR="007433BE" w:rsidRDefault="007433BE" w:rsidP="00862231"/>
    <w:sectPr w:rsidR="007433BE" w:rsidSect="00597960">
      <w:pgSz w:w="15840" w:h="12240" w:orient="landscape"/>
      <w:pgMar w:top="1440" w:right="1440" w:bottom="1440" w:left="144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15C38" w14:textId="77777777" w:rsidR="00A557ED" w:rsidRDefault="00A557ED" w:rsidP="00AA4644">
      <w:pPr>
        <w:spacing w:line="240" w:lineRule="auto"/>
      </w:pPr>
      <w:r>
        <w:separator/>
      </w:r>
    </w:p>
  </w:endnote>
  <w:endnote w:type="continuationSeparator" w:id="0">
    <w:p w14:paraId="59474694" w14:textId="77777777" w:rsidR="00A557ED" w:rsidRDefault="00A557ED" w:rsidP="00AA4644">
      <w:pPr>
        <w:spacing w:line="240" w:lineRule="auto"/>
      </w:pPr>
      <w:r>
        <w:continuationSeparator/>
      </w:r>
    </w:p>
  </w:endnote>
  <w:endnote w:type="continuationNotice" w:id="1">
    <w:p w14:paraId="1BF8C812" w14:textId="77777777" w:rsidR="00A557ED" w:rsidRDefault="00A557E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F3D91" w14:textId="2CBFDBD5" w:rsidR="003E28E7" w:rsidRDefault="00365CE6" w:rsidP="003E28E7">
    <w:pPr>
      <w:pStyle w:val="Footer"/>
      <w:jc w:val="right"/>
    </w:pPr>
    <w:sdt>
      <w:sdtPr>
        <w:rPr>
          <w:color w:val="44546A" w:themeColor="text2"/>
          <w:sz w:val="20"/>
          <w:szCs w:val="20"/>
        </w:rPr>
        <w:alias w:val="Title"/>
        <w:tag w:val=""/>
        <w:id w:val="1501006165"/>
        <w:placeholder>
          <w:docPart w:val="0C6304E440B445F1906ADCBAE09635C5"/>
        </w:placeholder>
        <w:dataBinding w:prefixMappings="xmlns:ns0='http://purl.org/dc/elements/1.1/' xmlns:ns1='http://schemas.openxmlformats.org/package/2006/metadata/core-properties' " w:xpath="/ns1:coreProperties[1]/ns0:title[1]" w:storeItemID="{6C3C8BC8-F283-45AE-878A-BAB7291924A1}"/>
        <w:text/>
      </w:sdtPr>
      <w:sdtEndPr/>
      <w:sdtContent>
        <w:r w:rsidR="008B0482">
          <w:rPr>
            <w:color w:val="44546A" w:themeColor="text2"/>
            <w:sz w:val="20"/>
            <w:szCs w:val="20"/>
          </w:rPr>
          <w:t>Broadway Reconstruction from IH-45 to SH 225 Road Project BCA Summary</w:t>
        </w:r>
      </w:sdtContent>
    </w:sdt>
    <w:r w:rsidR="003E28E7" w:rsidRPr="00C43398">
      <w:t xml:space="preserve"> </w:t>
    </w:r>
    <w:sdt>
      <w:sdtPr>
        <w:rPr>
          <w:color w:val="0071CE" w:themeColor="accent3"/>
          <w:sz w:val="20"/>
          <w:szCs w:val="20"/>
        </w:rPr>
        <w:id w:val="-385423724"/>
        <w:docPartObj>
          <w:docPartGallery w:val="Page Numbers (Bottom of Page)"/>
          <w:docPartUnique/>
        </w:docPartObj>
      </w:sdtPr>
      <w:sdtEndPr>
        <w:rPr>
          <w:noProof/>
        </w:rPr>
      </w:sdtEndPr>
      <w:sdtContent>
        <w:r w:rsidR="003E28E7" w:rsidRPr="00C43398">
          <w:rPr>
            <w:color w:val="0071CE" w:themeColor="accent3"/>
            <w:sz w:val="20"/>
            <w:szCs w:val="20"/>
          </w:rPr>
          <w:fldChar w:fldCharType="begin"/>
        </w:r>
        <w:r w:rsidR="003E28E7" w:rsidRPr="00C43398">
          <w:rPr>
            <w:color w:val="0071CE" w:themeColor="accent3"/>
            <w:sz w:val="20"/>
            <w:szCs w:val="20"/>
          </w:rPr>
          <w:instrText xml:space="preserve"> PAGE   \* MERGEFORMAT </w:instrText>
        </w:r>
        <w:r w:rsidR="003E28E7" w:rsidRPr="00C43398">
          <w:rPr>
            <w:color w:val="0071CE" w:themeColor="accent3"/>
            <w:sz w:val="20"/>
            <w:szCs w:val="20"/>
          </w:rPr>
          <w:fldChar w:fldCharType="separate"/>
        </w:r>
        <w:r w:rsidR="003E28E7" w:rsidRPr="00C43398">
          <w:rPr>
            <w:color w:val="0071CE" w:themeColor="accent3"/>
            <w:sz w:val="20"/>
            <w:szCs w:val="20"/>
          </w:rPr>
          <w:t>1</w:t>
        </w:r>
        <w:r w:rsidR="003E28E7" w:rsidRPr="00C43398">
          <w:rPr>
            <w:noProof/>
            <w:color w:val="0071CE" w:themeColor="accent3"/>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43004" w14:textId="616A597A" w:rsidR="003D2EF4" w:rsidRPr="00AD6FF4" w:rsidRDefault="003D2EF4" w:rsidP="00BA48A9">
    <w:pPr>
      <w:jc w:val="right"/>
      <w:rPr>
        <w:szCs w:val="24"/>
      </w:rPr>
    </w:pPr>
  </w:p>
  <w:p w14:paraId="64B2EF94" w14:textId="4A8D0269" w:rsidR="003D2EF4" w:rsidRDefault="00365CE6" w:rsidP="003E28E7">
    <w:pPr>
      <w:pStyle w:val="Footer"/>
      <w:jc w:val="right"/>
    </w:pPr>
    <w:sdt>
      <w:sdtPr>
        <w:rPr>
          <w:color w:val="44546A" w:themeColor="text2"/>
          <w:sz w:val="20"/>
          <w:szCs w:val="20"/>
        </w:rPr>
        <w:alias w:val="Title"/>
        <w:tag w:val=""/>
        <w:id w:val="794725011"/>
        <w:placeholder>
          <w:docPart w:val="94CD4B8D93A04445A435F67616C847B1"/>
        </w:placeholder>
        <w:dataBinding w:prefixMappings="xmlns:ns0='http://purl.org/dc/elements/1.1/' xmlns:ns1='http://schemas.openxmlformats.org/package/2006/metadata/core-properties' " w:xpath="/ns1:coreProperties[1]/ns0:title[1]" w:storeItemID="{6C3C8BC8-F283-45AE-878A-BAB7291924A1}"/>
        <w:text/>
      </w:sdtPr>
      <w:sdtEndPr/>
      <w:sdtContent>
        <w:r w:rsidR="00517C40" w:rsidRPr="00517C40">
          <w:rPr>
            <w:color w:val="44546A" w:themeColor="text2"/>
            <w:sz w:val="20"/>
            <w:szCs w:val="20"/>
          </w:rPr>
          <w:t xml:space="preserve">Broadway Reconstruction from IH-45 to </w:t>
        </w:r>
        <w:r w:rsidR="008B0482">
          <w:rPr>
            <w:color w:val="44546A" w:themeColor="text2"/>
            <w:sz w:val="20"/>
            <w:szCs w:val="20"/>
          </w:rPr>
          <w:t>SH 225</w:t>
        </w:r>
        <w:r w:rsidR="00517C40" w:rsidRPr="00517C40">
          <w:rPr>
            <w:color w:val="44546A" w:themeColor="text2"/>
            <w:sz w:val="20"/>
            <w:szCs w:val="20"/>
          </w:rPr>
          <w:t xml:space="preserve"> Road Project </w:t>
        </w:r>
        <w:r w:rsidR="00D71D24" w:rsidRPr="00517C40">
          <w:rPr>
            <w:color w:val="44546A" w:themeColor="text2"/>
            <w:sz w:val="20"/>
            <w:szCs w:val="20"/>
          </w:rPr>
          <w:t>BCA Summary</w:t>
        </w:r>
      </w:sdtContent>
    </w:sdt>
    <w:r w:rsidR="003E28E7" w:rsidRPr="00517C40">
      <w:t xml:space="preserve"> </w:t>
    </w:r>
    <w:sdt>
      <w:sdtPr>
        <w:rPr>
          <w:sz w:val="20"/>
          <w:szCs w:val="20"/>
        </w:rPr>
        <w:id w:val="-1745719603"/>
        <w:docPartObj>
          <w:docPartGallery w:val="Page Numbers (Bottom of Page)"/>
          <w:docPartUnique/>
        </w:docPartObj>
      </w:sdtPr>
      <w:sdtEndPr>
        <w:rPr>
          <w:noProof/>
          <w:color w:val="0071CE" w:themeColor="accent3"/>
        </w:rPr>
      </w:sdtEndPr>
      <w:sdtContent>
        <w:r w:rsidR="003E28E7" w:rsidRPr="00517C40">
          <w:rPr>
            <w:color w:val="0071CE" w:themeColor="accent3"/>
            <w:sz w:val="20"/>
            <w:szCs w:val="20"/>
          </w:rPr>
          <w:fldChar w:fldCharType="begin"/>
        </w:r>
        <w:r w:rsidR="003E28E7" w:rsidRPr="00517C40">
          <w:rPr>
            <w:color w:val="0071CE" w:themeColor="accent3"/>
            <w:sz w:val="20"/>
            <w:szCs w:val="20"/>
          </w:rPr>
          <w:instrText xml:space="preserve"> PAGE   \* MERGEFORMAT </w:instrText>
        </w:r>
        <w:r w:rsidR="003E28E7" w:rsidRPr="00517C40">
          <w:rPr>
            <w:color w:val="0071CE" w:themeColor="accent3"/>
            <w:sz w:val="20"/>
            <w:szCs w:val="20"/>
          </w:rPr>
          <w:fldChar w:fldCharType="separate"/>
        </w:r>
        <w:r w:rsidR="003E28E7" w:rsidRPr="00517C40">
          <w:rPr>
            <w:color w:val="0071CE" w:themeColor="accent3"/>
            <w:sz w:val="20"/>
            <w:szCs w:val="20"/>
          </w:rPr>
          <w:t>2</w:t>
        </w:r>
        <w:r w:rsidR="003E28E7" w:rsidRPr="00517C40">
          <w:rPr>
            <w:noProof/>
            <w:color w:val="0071CE" w:themeColor="accent3"/>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EABC7" w14:textId="0E6D8DB3" w:rsidR="00CB17BC" w:rsidRPr="007F5BBB" w:rsidRDefault="00CB17BC" w:rsidP="007F5BBB">
    <w:pPr>
      <w:jc w:val="right"/>
      <w:rPr>
        <w:b/>
        <w:bCs/>
        <w:color w:val="093DA5" w:themeColor="accent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00689" w14:textId="77777777" w:rsidR="00A557ED" w:rsidRDefault="00A557ED" w:rsidP="00AA4644">
      <w:pPr>
        <w:spacing w:line="240" w:lineRule="auto"/>
      </w:pPr>
      <w:r>
        <w:separator/>
      </w:r>
    </w:p>
  </w:footnote>
  <w:footnote w:type="continuationSeparator" w:id="0">
    <w:p w14:paraId="60F75F73" w14:textId="77777777" w:rsidR="00A557ED" w:rsidRDefault="00A557ED" w:rsidP="00AA4644">
      <w:pPr>
        <w:spacing w:line="240" w:lineRule="auto"/>
      </w:pPr>
      <w:r>
        <w:continuationSeparator/>
      </w:r>
    </w:p>
  </w:footnote>
  <w:footnote w:type="continuationNotice" w:id="1">
    <w:p w14:paraId="138394EE" w14:textId="77777777" w:rsidR="00A557ED" w:rsidRDefault="00A557ED">
      <w:pPr>
        <w:spacing w:line="240" w:lineRule="auto"/>
      </w:pPr>
    </w:p>
  </w:footnote>
  <w:footnote w:id="2">
    <w:p w14:paraId="2EC246E0" w14:textId="081724FC" w:rsidR="003D2EF4" w:rsidRPr="00D738DD" w:rsidRDefault="003D2EF4" w:rsidP="00D37E0C">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w:t>
      </w:r>
      <w:bookmarkStart w:id="4" w:name="_Hlk98416783"/>
      <w:r w:rsidRPr="00D738DD">
        <w:rPr>
          <w:rFonts w:asciiTheme="majorHAnsi" w:hAnsiTheme="majorHAnsi" w:cstheme="majorHAnsi"/>
          <w:szCs w:val="18"/>
        </w:rPr>
        <w:t>United States Department of Transportation (202</w:t>
      </w:r>
      <w:r w:rsidR="00FA635C">
        <w:rPr>
          <w:rFonts w:asciiTheme="majorHAnsi" w:hAnsiTheme="majorHAnsi" w:cstheme="majorHAnsi"/>
          <w:szCs w:val="18"/>
        </w:rPr>
        <w:t>4</w:t>
      </w:r>
      <w:r w:rsidRPr="00D738DD">
        <w:rPr>
          <w:rFonts w:asciiTheme="majorHAnsi" w:hAnsiTheme="majorHAnsi" w:cstheme="majorHAnsi"/>
          <w:szCs w:val="18"/>
        </w:rPr>
        <w:t xml:space="preserve">). Benefit-Cost Analysis Guidance for Discretionary Grant Programs. Retrieved </w:t>
      </w:r>
      <w:r w:rsidR="00FA635C">
        <w:rPr>
          <w:rFonts w:asciiTheme="majorHAnsi" w:hAnsiTheme="majorHAnsi" w:cstheme="majorHAnsi"/>
          <w:szCs w:val="18"/>
        </w:rPr>
        <w:t>January</w:t>
      </w:r>
      <w:r w:rsidRPr="00D738DD">
        <w:rPr>
          <w:rFonts w:asciiTheme="majorHAnsi" w:hAnsiTheme="majorHAnsi" w:cstheme="majorHAnsi"/>
          <w:szCs w:val="18"/>
        </w:rPr>
        <w:t xml:space="preserve"> 202</w:t>
      </w:r>
      <w:r w:rsidR="00FA635C">
        <w:rPr>
          <w:rFonts w:asciiTheme="majorHAnsi" w:hAnsiTheme="majorHAnsi" w:cstheme="majorHAnsi"/>
          <w:szCs w:val="18"/>
        </w:rPr>
        <w:t>4</w:t>
      </w:r>
      <w:r w:rsidRPr="00D738DD">
        <w:rPr>
          <w:rFonts w:asciiTheme="majorHAnsi" w:hAnsiTheme="majorHAnsi" w:cstheme="majorHAnsi"/>
          <w:szCs w:val="18"/>
        </w:rPr>
        <w:t xml:space="preserve"> from </w:t>
      </w:r>
      <w:hyperlink r:id="rId1" w:history="1">
        <w:r w:rsidRPr="00D738DD">
          <w:rPr>
            <w:rStyle w:val="Hyperlink"/>
            <w:rFonts w:asciiTheme="majorHAnsi" w:hAnsiTheme="majorHAnsi" w:cstheme="majorHAnsi"/>
            <w:szCs w:val="18"/>
          </w:rPr>
          <w:t>https://www.transportation.gov/office-policy/transportation-policy/benefit-cost-analysis-guidance-discretionary-grant-programs-0</w:t>
        </w:r>
      </w:hyperlink>
      <w:r w:rsidRPr="00D738DD">
        <w:rPr>
          <w:rFonts w:asciiTheme="majorHAnsi" w:hAnsiTheme="majorHAnsi" w:cstheme="majorHAnsi"/>
          <w:szCs w:val="18"/>
        </w:rPr>
        <w:t xml:space="preserve"> </w:t>
      </w:r>
      <w:bookmarkEnd w:id="4"/>
    </w:p>
  </w:footnote>
  <w:footnote w:id="3">
    <w:p w14:paraId="27C029AE" w14:textId="0801F4BE" w:rsidR="00831FF1" w:rsidRDefault="00831FF1">
      <w:pPr>
        <w:pStyle w:val="FootnoteText"/>
      </w:pPr>
      <w:r>
        <w:rPr>
          <w:rStyle w:val="FootnoteReference"/>
        </w:rPr>
        <w:footnoteRef/>
      </w:r>
      <w:r>
        <w:t xml:space="preserve"> </w:t>
      </w:r>
      <w:r w:rsidRPr="00266DC9">
        <w:t xml:space="preserve">TxDOT – Statewide Planning Map. Accessed on </w:t>
      </w:r>
      <w:r w:rsidR="007D57D2">
        <w:t>March</w:t>
      </w:r>
      <w:r w:rsidRPr="00266DC9">
        <w:t xml:space="preserve"> 202</w:t>
      </w:r>
      <w:r>
        <w:t>4</w:t>
      </w:r>
      <w:r w:rsidRPr="00266DC9">
        <w:t xml:space="preserve">, from </w:t>
      </w:r>
      <w:r w:rsidRPr="00944454">
        <w:t>https://www.txdot.gov/apps/statewide_mapping/StatewidePlanningMap.html</w:t>
      </w:r>
    </w:p>
  </w:footnote>
  <w:footnote w:id="4">
    <w:p w14:paraId="6C9DC102" w14:textId="77777777" w:rsidR="00875344" w:rsidRPr="00D738DD" w:rsidRDefault="00875344" w:rsidP="00875344">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Texas Department of Transportation (2022). Highway Safety Improvement Manual. Retrieved August 2022 from </w:t>
      </w:r>
      <w:hyperlink r:id="rId2" w:history="1">
        <w:r w:rsidRPr="00D738DD">
          <w:rPr>
            <w:rStyle w:val="Hyperlink"/>
            <w:rFonts w:asciiTheme="majorHAnsi" w:hAnsiTheme="majorHAnsi" w:cstheme="majorHAnsi"/>
            <w:szCs w:val="18"/>
          </w:rPr>
          <w:t>https://www.txdot.gov/inside-txdot/forms-publications/publications/highway-safety.html</w:t>
        </w:r>
      </w:hyperlink>
      <w:r w:rsidRPr="00D738DD">
        <w:rPr>
          <w:rFonts w:asciiTheme="majorHAnsi" w:hAnsiTheme="majorHAnsi" w:cstheme="majorHAnsi"/>
          <w:szCs w:val="18"/>
        </w:rPr>
        <w:t xml:space="preserve"> </w:t>
      </w:r>
    </w:p>
  </w:footnote>
  <w:footnote w:id="5">
    <w:p w14:paraId="1EF8E836" w14:textId="50B37CA9" w:rsidR="009D71C9" w:rsidRPr="00D738DD" w:rsidRDefault="009D71C9" w:rsidP="009D71C9">
      <w:pPr>
        <w:pStyle w:val="Footnote"/>
        <w:rPr>
          <w:rFonts w:asciiTheme="majorHAnsi" w:hAnsiTheme="majorHAnsi" w:cstheme="majorHAnsi"/>
          <w:szCs w:val="18"/>
        </w:rPr>
      </w:pPr>
      <w:r w:rsidRPr="00D738DD">
        <w:rPr>
          <w:rFonts w:asciiTheme="majorHAnsi" w:hAnsiTheme="majorHAnsi" w:cstheme="majorHAnsi"/>
          <w:szCs w:val="18"/>
        </w:rPr>
        <w:footnoteRef/>
      </w:r>
      <w:r w:rsidRPr="00D738DD">
        <w:rPr>
          <w:rFonts w:asciiTheme="majorHAnsi" w:hAnsiTheme="majorHAnsi" w:cstheme="majorHAnsi"/>
          <w:szCs w:val="18"/>
        </w:rPr>
        <w:t xml:space="preserve"> Environmental Protection Agency. (n.d.). EPA. Retrieved </w:t>
      </w:r>
      <w:r w:rsidR="0065535F">
        <w:rPr>
          <w:rFonts w:asciiTheme="majorHAnsi" w:hAnsiTheme="majorHAnsi" w:cstheme="majorHAnsi"/>
          <w:szCs w:val="18"/>
        </w:rPr>
        <w:t>April 2024</w:t>
      </w:r>
      <w:r w:rsidRPr="00D738DD">
        <w:rPr>
          <w:rFonts w:asciiTheme="majorHAnsi" w:hAnsiTheme="majorHAnsi" w:cstheme="majorHAnsi"/>
          <w:szCs w:val="18"/>
        </w:rPr>
        <w:t xml:space="preserve">, from </w:t>
      </w:r>
      <w:hyperlink r:id="rId3" w:history="1">
        <w:r w:rsidRPr="00D738DD">
          <w:rPr>
            <w:rStyle w:val="Hyperlink"/>
            <w:rFonts w:asciiTheme="majorHAnsi" w:hAnsiTheme="majorHAnsi" w:cstheme="majorHAnsi"/>
            <w:szCs w:val="18"/>
          </w:rPr>
          <w:t>https://www.epa.gov/energy/greenhouse-gases-equivalencies-calculator-calculations-and-references</w:t>
        </w:r>
      </w:hyperlink>
      <w:r w:rsidRPr="00D738DD">
        <w:rPr>
          <w:rFonts w:asciiTheme="majorHAnsi" w:hAnsiTheme="majorHAnsi" w:cstheme="majorHAnsi"/>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182F" w14:textId="30E30F4E" w:rsidR="003D2EF4" w:rsidRPr="00AD5D0D" w:rsidRDefault="003D2EF4" w:rsidP="00BA48A9">
    <w:pPr>
      <w:rPr>
        <w:sz w:val="20"/>
        <w:szCs w:val="20"/>
      </w:rPr>
    </w:pPr>
    <w:bookmarkStart w:id="0" w:name="_Hlk86225874"/>
  </w:p>
  <w:bookmarkEnd w:id="0"/>
  <w:p w14:paraId="219E925A" w14:textId="77777777" w:rsidR="003D2EF4" w:rsidRDefault="003D2E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CB9"/>
    <w:multiLevelType w:val="hybridMultilevel"/>
    <w:tmpl w:val="6B181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3B61E1"/>
    <w:multiLevelType w:val="hybridMultilevel"/>
    <w:tmpl w:val="8676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82232"/>
    <w:multiLevelType w:val="hybridMultilevel"/>
    <w:tmpl w:val="3CD29552"/>
    <w:lvl w:ilvl="0" w:tplc="06D80A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45204"/>
    <w:multiLevelType w:val="hybridMultilevel"/>
    <w:tmpl w:val="5D8C3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13A6C"/>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1D2BB4"/>
    <w:multiLevelType w:val="hybridMultilevel"/>
    <w:tmpl w:val="84762E46"/>
    <w:lvl w:ilvl="0" w:tplc="8C18064C">
      <w:numFmt w:val="bullet"/>
      <w:lvlText w:val=""/>
      <w:lvlJc w:val="left"/>
      <w:pPr>
        <w:ind w:left="840" w:hanging="360"/>
      </w:pPr>
      <w:rPr>
        <w:rFonts w:ascii="Symbol" w:eastAsia="Symbol" w:hAnsi="Symbol" w:cs="Symbol" w:hint="default"/>
        <w:color w:val="231F20"/>
        <w:w w:val="100"/>
        <w:sz w:val="22"/>
        <w:szCs w:val="22"/>
      </w:rPr>
    </w:lvl>
    <w:lvl w:ilvl="1" w:tplc="0AF835A6">
      <w:numFmt w:val="bullet"/>
      <w:lvlText w:val="o"/>
      <w:lvlJc w:val="left"/>
      <w:pPr>
        <w:ind w:left="1560" w:hanging="360"/>
      </w:pPr>
      <w:rPr>
        <w:rFonts w:ascii="Courier New" w:eastAsia="Courier New" w:hAnsi="Courier New" w:cs="Courier New" w:hint="default"/>
        <w:color w:val="231F20"/>
        <w:spacing w:val="-5"/>
        <w:w w:val="99"/>
        <w:sz w:val="22"/>
        <w:szCs w:val="22"/>
      </w:rPr>
    </w:lvl>
    <w:lvl w:ilvl="2" w:tplc="6990339E">
      <w:numFmt w:val="bullet"/>
      <w:lvlText w:val="•"/>
      <w:lvlJc w:val="left"/>
      <w:pPr>
        <w:ind w:left="1560" w:hanging="360"/>
      </w:pPr>
      <w:rPr>
        <w:rFonts w:hint="default"/>
      </w:rPr>
    </w:lvl>
    <w:lvl w:ilvl="3" w:tplc="A480533C">
      <w:numFmt w:val="bullet"/>
      <w:lvlText w:val="•"/>
      <w:lvlJc w:val="left"/>
      <w:pPr>
        <w:ind w:left="2742" w:hanging="360"/>
      </w:pPr>
      <w:rPr>
        <w:rFonts w:hint="default"/>
      </w:rPr>
    </w:lvl>
    <w:lvl w:ilvl="4" w:tplc="A57CF3D6">
      <w:numFmt w:val="bullet"/>
      <w:lvlText w:val="•"/>
      <w:lvlJc w:val="left"/>
      <w:pPr>
        <w:ind w:left="3925" w:hanging="360"/>
      </w:pPr>
      <w:rPr>
        <w:rFonts w:hint="default"/>
      </w:rPr>
    </w:lvl>
    <w:lvl w:ilvl="5" w:tplc="E7A8D21A">
      <w:numFmt w:val="bullet"/>
      <w:lvlText w:val="•"/>
      <w:lvlJc w:val="left"/>
      <w:pPr>
        <w:ind w:left="5107" w:hanging="360"/>
      </w:pPr>
      <w:rPr>
        <w:rFonts w:hint="default"/>
      </w:rPr>
    </w:lvl>
    <w:lvl w:ilvl="6" w:tplc="BE241C7A">
      <w:numFmt w:val="bullet"/>
      <w:lvlText w:val="•"/>
      <w:lvlJc w:val="left"/>
      <w:pPr>
        <w:ind w:left="6290" w:hanging="360"/>
      </w:pPr>
      <w:rPr>
        <w:rFonts w:hint="default"/>
      </w:rPr>
    </w:lvl>
    <w:lvl w:ilvl="7" w:tplc="FB245180">
      <w:numFmt w:val="bullet"/>
      <w:lvlText w:val="•"/>
      <w:lvlJc w:val="left"/>
      <w:pPr>
        <w:ind w:left="7472" w:hanging="360"/>
      </w:pPr>
      <w:rPr>
        <w:rFonts w:hint="default"/>
      </w:rPr>
    </w:lvl>
    <w:lvl w:ilvl="8" w:tplc="EB4EB444">
      <w:numFmt w:val="bullet"/>
      <w:lvlText w:val="•"/>
      <w:lvlJc w:val="left"/>
      <w:pPr>
        <w:ind w:left="8655" w:hanging="360"/>
      </w:pPr>
      <w:rPr>
        <w:rFonts w:hint="default"/>
      </w:rPr>
    </w:lvl>
  </w:abstractNum>
  <w:abstractNum w:abstractNumId="6" w15:restartNumberingAfterBreak="0">
    <w:nsid w:val="0C0D7BE3"/>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412E9F"/>
    <w:multiLevelType w:val="multilevel"/>
    <w:tmpl w:val="D8467C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05108D"/>
    <w:multiLevelType w:val="hybridMultilevel"/>
    <w:tmpl w:val="47F4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16C02"/>
    <w:multiLevelType w:val="hybridMultilevel"/>
    <w:tmpl w:val="908E2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AA2813"/>
    <w:multiLevelType w:val="hybridMultilevel"/>
    <w:tmpl w:val="495E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BE1339"/>
    <w:multiLevelType w:val="hybridMultilevel"/>
    <w:tmpl w:val="50E03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03C59"/>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327A7"/>
    <w:multiLevelType w:val="hybridMultilevel"/>
    <w:tmpl w:val="BA20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EE5E9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904288"/>
    <w:multiLevelType w:val="hybridMultilevel"/>
    <w:tmpl w:val="8AD20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0066B3"/>
    <w:multiLevelType w:val="hybridMultilevel"/>
    <w:tmpl w:val="613A5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8B550B"/>
    <w:multiLevelType w:val="hybridMultilevel"/>
    <w:tmpl w:val="D00284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29741A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6A4160E"/>
    <w:multiLevelType w:val="multilevel"/>
    <w:tmpl w:val="6F0E07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60164F"/>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542022"/>
    <w:multiLevelType w:val="hybridMultilevel"/>
    <w:tmpl w:val="BDB208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76185"/>
    <w:multiLevelType w:val="hybridMultilevel"/>
    <w:tmpl w:val="7A1046C8"/>
    <w:lvl w:ilvl="0" w:tplc="5EB6CF7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1A6854"/>
    <w:multiLevelType w:val="hybridMultilevel"/>
    <w:tmpl w:val="39B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280538"/>
    <w:multiLevelType w:val="hybridMultilevel"/>
    <w:tmpl w:val="7B56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B40F6"/>
    <w:multiLevelType w:val="hybridMultilevel"/>
    <w:tmpl w:val="A15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8C5F94"/>
    <w:multiLevelType w:val="hybridMultilevel"/>
    <w:tmpl w:val="0CD2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8D72B7"/>
    <w:multiLevelType w:val="hybridMultilevel"/>
    <w:tmpl w:val="5E80E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256D79"/>
    <w:multiLevelType w:val="hybridMultilevel"/>
    <w:tmpl w:val="FD5423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324691"/>
    <w:multiLevelType w:val="hybridMultilevel"/>
    <w:tmpl w:val="C1F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4A3953"/>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F13D67"/>
    <w:multiLevelType w:val="hybridMultilevel"/>
    <w:tmpl w:val="0FB4B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E95550"/>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50AC2"/>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F16DDD"/>
    <w:multiLevelType w:val="hybridMultilevel"/>
    <w:tmpl w:val="EE061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232F13"/>
    <w:multiLevelType w:val="hybridMultilevel"/>
    <w:tmpl w:val="6B2AB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E8446A"/>
    <w:multiLevelType w:val="hybridMultilevel"/>
    <w:tmpl w:val="8C226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C2827"/>
    <w:multiLevelType w:val="hybridMultilevel"/>
    <w:tmpl w:val="35D6BBA0"/>
    <w:lvl w:ilvl="0" w:tplc="9D4C1A2C">
      <w:start w:val="1"/>
      <w:numFmt w:val="bullet"/>
      <w:lvlText w:val=""/>
      <w:lvlJc w:val="left"/>
      <w:pPr>
        <w:ind w:left="1440" w:hanging="360"/>
      </w:pPr>
      <w:rPr>
        <w:rFonts w:ascii="Symbol" w:hAnsi="Symbol"/>
      </w:rPr>
    </w:lvl>
    <w:lvl w:ilvl="1" w:tplc="863415E0">
      <w:start w:val="1"/>
      <w:numFmt w:val="bullet"/>
      <w:lvlText w:val=""/>
      <w:lvlJc w:val="left"/>
      <w:pPr>
        <w:ind w:left="1440" w:hanging="360"/>
      </w:pPr>
      <w:rPr>
        <w:rFonts w:ascii="Symbol" w:hAnsi="Symbol"/>
      </w:rPr>
    </w:lvl>
    <w:lvl w:ilvl="2" w:tplc="97B0CAAC">
      <w:start w:val="1"/>
      <w:numFmt w:val="bullet"/>
      <w:lvlText w:val=""/>
      <w:lvlJc w:val="left"/>
      <w:pPr>
        <w:ind w:left="1440" w:hanging="360"/>
      </w:pPr>
      <w:rPr>
        <w:rFonts w:ascii="Symbol" w:hAnsi="Symbol"/>
      </w:rPr>
    </w:lvl>
    <w:lvl w:ilvl="3" w:tplc="C0EA582A">
      <w:start w:val="1"/>
      <w:numFmt w:val="bullet"/>
      <w:lvlText w:val=""/>
      <w:lvlJc w:val="left"/>
      <w:pPr>
        <w:ind w:left="1440" w:hanging="360"/>
      </w:pPr>
      <w:rPr>
        <w:rFonts w:ascii="Symbol" w:hAnsi="Symbol"/>
      </w:rPr>
    </w:lvl>
    <w:lvl w:ilvl="4" w:tplc="C8F03E7C">
      <w:start w:val="1"/>
      <w:numFmt w:val="bullet"/>
      <w:lvlText w:val=""/>
      <w:lvlJc w:val="left"/>
      <w:pPr>
        <w:ind w:left="1440" w:hanging="360"/>
      </w:pPr>
      <w:rPr>
        <w:rFonts w:ascii="Symbol" w:hAnsi="Symbol"/>
      </w:rPr>
    </w:lvl>
    <w:lvl w:ilvl="5" w:tplc="81B6CBC8">
      <w:start w:val="1"/>
      <w:numFmt w:val="bullet"/>
      <w:lvlText w:val=""/>
      <w:lvlJc w:val="left"/>
      <w:pPr>
        <w:ind w:left="1440" w:hanging="360"/>
      </w:pPr>
      <w:rPr>
        <w:rFonts w:ascii="Symbol" w:hAnsi="Symbol"/>
      </w:rPr>
    </w:lvl>
    <w:lvl w:ilvl="6" w:tplc="5726A902">
      <w:start w:val="1"/>
      <w:numFmt w:val="bullet"/>
      <w:lvlText w:val=""/>
      <w:lvlJc w:val="left"/>
      <w:pPr>
        <w:ind w:left="1440" w:hanging="360"/>
      </w:pPr>
      <w:rPr>
        <w:rFonts w:ascii="Symbol" w:hAnsi="Symbol"/>
      </w:rPr>
    </w:lvl>
    <w:lvl w:ilvl="7" w:tplc="310265E0">
      <w:start w:val="1"/>
      <w:numFmt w:val="bullet"/>
      <w:lvlText w:val=""/>
      <w:lvlJc w:val="left"/>
      <w:pPr>
        <w:ind w:left="1440" w:hanging="360"/>
      </w:pPr>
      <w:rPr>
        <w:rFonts w:ascii="Symbol" w:hAnsi="Symbol"/>
      </w:rPr>
    </w:lvl>
    <w:lvl w:ilvl="8" w:tplc="DF8EE348">
      <w:start w:val="1"/>
      <w:numFmt w:val="bullet"/>
      <w:lvlText w:val=""/>
      <w:lvlJc w:val="left"/>
      <w:pPr>
        <w:ind w:left="1440" w:hanging="360"/>
      </w:pPr>
      <w:rPr>
        <w:rFonts w:ascii="Symbol" w:hAnsi="Symbol"/>
      </w:rPr>
    </w:lvl>
  </w:abstractNum>
  <w:abstractNum w:abstractNumId="38" w15:restartNumberingAfterBreak="0">
    <w:nsid w:val="6EEB6AC8"/>
    <w:multiLevelType w:val="hybridMultilevel"/>
    <w:tmpl w:val="F184E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A3508"/>
    <w:multiLevelType w:val="hybridMultilevel"/>
    <w:tmpl w:val="7E761B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6AF6942"/>
    <w:multiLevelType w:val="hybridMultilevel"/>
    <w:tmpl w:val="961C4C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F1368E"/>
    <w:multiLevelType w:val="hybridMultilevel"/>
    <w:tmpl w:val="6B367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2C0995"/>
    <w:multiLevelType w:val="hybridMultilevel"/>
    <w:tmpl w:val="07BAA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C2DB1"/>
    <w:multiLevelType w:val="hybridMultilevel"/>
    <w:tmpl w:val="2090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3E446C"/>
    <w:multiLevelType w:val="hybridMultilevel"/>
    <w:tmpl w:val="6EC2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9703486">
    <w:abstractNumId w:val="11"/>
  </w:num>
  <w:num w:numId="2" w16cid:durableId="1783070475">
    <w:abstractNumId w:val="8"/>
  </w:num>
  <w:num w:numId="3" w16cid:durableId="664668441">
    <w:abstractNumId w:val="23"/>
  </w:num>
  <w:num w:numId="4" w16cid:durableId="1405494433">
    <w:abstractNumId w:val="41"/>
  </w:num>
  <w:num w:numId="5" w16cid:durableId="1117987201">
    <w:abstractNumId w:val="0"/>
  </w:num>
  <w:num w:numId="6" w16cid:durableId="349375248">
    <w:abstractNumId w:val="16"/>
  </w:num>
  <w:num w:numId="7" w16cid:durableId="61105316">
    <w:abstractNumId w:val="32"/>
  </w:num>
  <w:num w:numId="8" w16cid:durableId="643587030">
    <w:abstractNumId w:val="42"/>
  </w:num>
  <w:num w:numId="9" w16cid:durableId="1934775327">
    <w:abstractNumId w:val="33"/>
  </w:num>
  <w:num w:numId="10" w16cid:durableId="1726634593">
    <w:abstractNumId w:val="12"/>
  </w:num>
  <w:num w:numId="11" w16cid:durableId="2118327658">
    <w:abstractNumId w:val="22"/>
  </w:num>
  <w:num w:numId="12" w16cid:durableId="594090855">
    <w:abstractNumId w:val="1"/>
  </w:num>
  <w:num w:numId="13" w16cid:durableId="2026901012">
    <w:abstractNumId w:val="5"/>
  </w:num>
  <w:num w:numId="14" w16cid:durableId="1351758132">
    <w:abstractNumId w:val="28"/>
  </w:num>
  <w:num w:numId="15" w16cid:durableId="1433629057">
    <w:abstractNumId w:val="39"/>
  </w:num>
  <w:num w:numId="16" w16cid:durableId="1122844713">
    <w:abstractNumId w:val="40"/>
  </w:num>
  <w:num w:numId="17" w16cid:durableId="542139364">
    <w:abstractNumId w:val="18"/>
  </w:num>
  <w:num w:numId="18" w16cid:durableId="1774938534">
    <w:abstractNumId w:val="19"/>
  </w:num>
  <w:num w:numId="19" w16cid:durableId="1322079290">
    <w:abstractNumId w:val="7"/>
  </w:num>
  <w:num w:numId="20" w16cid:durableId="2137140520">
    <w:abstractNumId w:val="4"/>
  </w:num>
  <w:num w:numId="21" w16cid:durableId="620108156">
    <w:abstractNumId w:val="6"/>
  </w:num>
  <w:num w:numId="22" w16cid:durableId="1714844233">
    <w:abstractNumId w:val="25"/>
  </w:num>
  <w:num w:numId="23" w16cid:durableId="1027219982">
    <w:abstractNumId w:val="30"/>
  </w:num>
  <w:num w:numId="24" w16cid:durableId="516118093">
    <w:abstractNumId w:val="44"/>
  </w:num>
  <w:num w:numId="25" w16cid:durableId="236937287">
    <w:abstractNumId w:val="29"/>
  </w:num>
  <w:num w:numId="26" w16cid:durableId="1568418359">
    <w:abstractNumId w:val="2"/>
  </w:num>
  <w:num w:numId="27" w16cid:durableId="754126937">
    <w:abstractNumId w:val="3"/>
  </w:num>
  <w:num w:numId="28" w16cid:durableId="1529099663">
    <w:abstractNumId w:val="17"/>
  </w:num>
  <w:num w:numId="29" w16cid:durableId="2075278127">
    <w:abstractNumId w:val="9"/>
  </w:num>
  <w:num w:numId="30" w16cid:durableId="866017906">
    <w:abstractNumId w:val="36"/>
  </w:num>
  <w:num w:numId="31" w16cid:durableId="156388392">
    <w:abstractNumId w:val="20"/>
  </w:num>
  <w:num w:numId="32" w16cid:durableId="1431966515">
    <w:abstractNumId w:val="14"/>
  </w:num>
  <w:num w:numId="33" w16cid:durableId="906452147">
    <w:abstractNumId w:val="13"/>
  </w:num>
  <w:num w:numId="34" w16cid:durableId="336659169">
    <w:abstractNumId w:val="43"/>
  </w:num>
  <w:num w:numId="35" w16cid:durableId="309948531">
    <w:abstractNumId w:val="35"/>
  </w:num>
  <w:num w:numId="36" w16cid:durableId="870802688">
    <w:abstractNumId w:val="10"/>
  </w:num>
  <w:num w:numId="37" w16cid:durableId="1798647656">
    <w:abstractNumId w:val="26"/>
  </w:num>
  <w:num w:numId="38" w16cid:durableId="1546794425">
    <w:abstractNumId w:val="24"/>
  </w:num>
  <w:num w:numId="39" w16cid:durableId="773403896">
    <w:abstractNumId w:val="34"/>
  </w:num>
  <w:num w:numId="40" w16cid:durableId="1559894888">
    <w:abstractNumId w:val="31"/>
  </w:num>
  <w:num w:numId="41" w16cid:durableId="513417864">
    <w:abstractNumId w:val="21"/>
  </w:num>
  <w:num w:numId="42" w16cid:durableId="1990210822">
    <w:abstractNumId w:val="38"/>
  </w:num>
  <w:num w:numId="43" w16cid:durableId="1966303859">
    <w:abstractNumId w:val="15"/>
  </w:num>
  <w:num w:numId="44" w16cid:durableId="1635986775">
    <w:abstractNumId w:val="37"/>
  </w:num>
  <w:num w:numId="45" w16cid:durableId="6745766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A36"/>
    <w:rsid w:val="000008F4"/>
    <w:rsid w:val="00001FDD"/>
    <w:rsid w:val="00003D28"/>
    <w:rsid w:val="00003DB8"/>
    <w:rsid w:val="000059DC"/>
    <w:rsid w:val="00006BA9"/>
    <w:rsid w:val="000070BF"/>
    <w:rsid w:val="000073B1"/>
    <w:rsid w:val="000077FD"/>
    <w:rsid w:val="000134A9"/>
    <w:rsid w:val="000144A9"/>
    <w:rsid w:val="000147AF"/>
    <w:rsid w:val="00014E6A"/>
    <w:rsid w:val="000178C4"/>
    <w:rsid w:val="00020827"/>
    <w:rsid w:val="00020F69"/>
    <w:rsid w:val="000215AD"/>
    <w:rsid w:val="00021607"/>
    <w:rsid w:val="0002716F"/>
    <w:rsid w:val="00027E0C"/>
    <w:rsid w:val="0003131E"/>
    <w:rsid w:val="000314F3"/>
    <w:rsid w:val="0003287D"/>
    <w:rsid w:val="00032C9A"/>
    <w:rsid w:val="00034CCC"/>
    <w:rsid w:val="00036029"/>
    <w:rsid w:val="000366FB"/>
    <w:rsid w:val="00036B48"/>
    <w:rsid w:val="00040653"/>
    <w:rsid w:val="00040BC7"/>
    <w:rsid w:val="00040C1F"/>
    <w:rsid w:val="00040D4C"/>
    <w:rsid w:val="00046502"/>
    <w:rsid w:val="000523A4"/>
    <w:rsid w:val="00052772"/>
    <w:rsid w:val="000533E8"/>
    <w:rsid w:val="00053A5D"/>
    <w:rsid w:val="00053BB2"/>
    <w:rsid w:val="00055265"/>
    <w:rsid w:val="00055297"/>
    <w:rsid w:val="00055613"/>
    <w:rsid w:val="00055C73"/>
    <w:rsid w:val="0005783A"/>
    <w:rsid w:val="00060991"/>
    <w:rsid w:val="00060A64"/>
    <w:rsid w:val="0006376B"/>
    <w:rsid w:val="000637CC"/>
    <w:rsid w:val="00063ECB"/>
    <w:rsid w:val="00064080"/>
    <w:rsid w:val="00064E8E"/>
    <w:rsid w:val="00064F3F"/>
    <w:rsid w:val="00065B27"/>
    <w:rsid w:val="000705FC"/>
    <w:rsid w:val="00070694"/>
    <w:rsid w:val="00070B76"/>
    <w:rsid w:val="000736E1"/>
    <w:rsid w:val="0007399B"/>
    <w:rsid w:val="00074175"/>
    <w:rsid w:val="00075F46"/>
    <w:rsid w:val="00077C30"/>
    <w:rsid w:val="00080FA5"/>
    <w:rsid w:val="000840B5"/>
    <w:rsid w:val="00084210"/>
    <w:rsid w:val="000850EC"/>
    <w:rsid w:val="00086794"/>
    <w:rsid w:val="000901CF"/>
    <w:rsid w:val="00091974"/>
    <w:rsid w:val="00091FD3"/>
    <w:rsid w:val="000954A8"/>
    <w:rsid w:val="000963ED"/>
    <w:rsid w:val="00096991"/>
    <w:rsid w:val="00097322"/>
    <w:rsid w:val="000A028B"/>
    <w:rsid w:val="000A1361"/>
    <w:rsid w:val="000A23BE"/>
    <w:rsid w:val="000B02DD"/>
    <w:rsid w:val="000B06C1"/>
    <w:rsid w:val="000B16BC"/>
    <w:rsid w:val="000B2C28"/>
    <w:rsid w:val="000B4882"/>
    <w:rsid w:val="000B5AE9"/>
    <w:rsid w:val="000B5B5C"/>
    <w:rsid w:val="000B67BB"/>
    <w:rsid w:val="000B79CB"/>
    <w:rsid w:val="000C44A2"/>
    <w:rsid w:val="000C4C55"/>
    <w:rsid w:val="000C52C0"/>
    <w:rsid w:val="000C71B6"/>
    <w:rsid w:val="000C74C2"/>
    <w:rsid w:val="000D0AE6"/>
    <w:rsid w:val="000D2B60"/>
    <w:rsid w:val="000D3C7F"/>
    <w:rsid w:val="000D3DDF"/>
    <w:rsid w:val="000D4AEB"/>
    <w:rsid w:val="000D7E29"/>
    <w:rsid w:val="000E03AE"/>
    <w:rsid w:val="000E1663"/>
    <w:rsid w:val="000E187C"/>
    <w:rsid w:val="000E49DB"/>
    <w:rsid w:val="000E4FF0"/>
    <w:rsid w:val="000E52F5"/>
    <w:rsid w:val="000E55F4"/>
    <w:rsid w:val="000E614F"/>
    <w:rsid w:val="000E62CA"/>
    <w:rsid w:val="000E6B53"/>
    <w:rsid w:val="000E6C64"/>
    <w:rsid w:val="000F077F"/>
    <w:rsid w:val="000F40E8"/>
    <w:rsid w:val="000F4A90"/>
    <w:rsid w:val="000F5712"/>
    <w:rsid w:val="000F5B1C"/>
    <w:rsid w:val="000F5EC6"/>
    <w:rsid w:val="000F68E8"/>
    <w:rsid w:val="000F6C7E"/>
    <w:rsid w:val="000F7DA3"/>
    <w:rsid w:val="000F7E70"/>
    <w:rsid w:val="000F7FD2"/>
    <w:rsid w:val="00100F6C"/>
    <w:rsid w:val="001018C3"/>
    <w:rsid w:val="0010285C"/>
    <w:rsid w:val="00102920"/>
    <w:rsid w:val="00104021"/>
    <w:rsid w:val="00104CAD"/>
    <w:rsid w:val="0010664D"/>
    <w:rsid w:val="001068FC"/>
    <w:rsid w:val="00107690"/>
    <w:rsid w:val="001079F1"/>
    <w:rsid w:val="00107CC3"/>
    <w:rsid w:val="00111150"/>
    <w:rsid w:val="00111C53"/>
    <w:rsid w:val="00113146"/>
    <w:rsid w:val="00115906"/>
    <w:rsid w:val="00116252"/>
    <w:rsid w:val="00120CC5"/>
    <w:rsid w:val="001210DD"/>
    <w:rsid w:val="0012175B"/>
    <w:rsid w:val="0012236E"/>
    <w:rsid w:val="0012269C"/>
    <w:rsid w:val="00122AE9"/>
    <w:rsid w:val="0012393E"/>
    <w:rsid w:val="00123D2F"/>
    <w:rsid w:val="00123EBB"/>
    <w:rsid w:val="00126873"/>
    <w:rsid w:val="0013013B"/>
    <w:rsid w:val="00130E4A"/>
    <w:rsid w:val="00130E4D"/>
    <w:rsid w:val="00130FC2"/>
    <w:rsid w:val="001325C7"/>
    <w:rsid w:val="00132FBE"/>
    <w:rsid w:val="001343E2"/>
    <w:rsid w:val="001353FC"/>
    <w:rsid w:val="00136FCE"/>
    <w:rsid w:val="0013712D"/>
    <w:rsid w:val="001374CE"/>
    <w:rsid w:val="00140972"/>
    <w:rsid w:val="00140E45"/>
    <w:rsid w:val="00141DCA"/>
    <w:rsid w:val="00141EDA"/>
    <w:rsid w:val="00144B20"/>
    <w:rsid w:val="00144E3B"/>
    <w:rsid w:val="00144FCF"/>
    <w:rsid w:val="00145080"/>
    <w:rsid w:val="001467DF"/>
    <w:rsid w:val="00150F0D"/>
    <w:rsid w:val="00151830"/>
    <w:rsid w:val="00151BD1"/>
    <w:rsid w:val="00151DC2"/>
    <w:rsid w:val="00151F6C"/>
    <w:rsid w:val="00152DF7"/>
    <w:rsid w:val="00153111"/>
    <w:rsid w:val="0015336A"/>
    <w:rsid w:val="00153AC6"/>
    <w:rsid w:val="00153C93"/>
    <w:rsid w:val="001543DD"/>
    <w:rsid w:val="00154906"/>
    <w:rsid w:val="00155266"/>
    <w:rsid w:val="0015606F"/>
    <w:rsid w:val="0015696A"/>
    <w:rsid w:val="00156B23"/>
    <w:rsid w:val="0015703D"/>
    <w:rsid w:val="001600ED"/>
    <w:rsid w:val="0016068F"/>
    <w:rsid w:val="00161058"/>
    <w:rsid w:val="00161AE8"/>
    <w:rsid w:val="0016332F"/>
    <w:rsid w:val="0016626D"/>
    <w:rsid w:val="001663B3"/>
    <w:rsid w:val="00166747"/>
    <w:rsid w:val="00167770"/>
    <w:rsid w:val="00167E56"/>
    <w:rsid w:val="001702DE"/>
    <w:rsid w:val="00171457"/>
    <w:rsid w:val="001714EA"/>
    <w:rsid w:val="00171A1A"/>
    <w:rsid w:val="00171FE8"/>
    <w:rsid w:val="00172B01"/>
    <w:rsid w:val="00172C2B"/>
    <w:rsid w:val="00176068"/>
    <w:rsid w:val="0017764D"/>
    <w:rsid w:val="001814CC"/>
    <w:rsid w:val="00181582"/>
    <w:rsid w:val="00185C3A"/>
    <w:rsid w:val="00185CD0"/>
    <w:rsid w:val="00187336"/>
    <w:rsid w:val="00191421"/>
    <w:rsid w:val="00192F9D"/>
    <w:rsid w:val="00193071"/>
    <w:rsid w:val="00194B54"/>
    <w:rsid w:val="00195ECB"/>
    <w:rsid w:val="00196B08"/>
    <w:rsid w:val="001A3ACE"/>
    <w:rsid w:val="001A3DAC"/>
    <w:rsid w:val="001A4367"/>
    <w:rsid w:val="001A45F2"/>
    <w:rsid w:val="001A566D"/>
    <w:rsid w:val="001A6DDA"/>
    <w:rsid w:val="001B1140"/>
    <w:rsid w:val="001B1257"/>
    <w:rsid w:val="001B1C93"/>
    <w:rsid w:val="001B39FB"/>
    <w:rsid w:val="001B5290"/>
    <w:rsid w:val="001B6B02"/>
    <w:rsid w:val="001B717D"/>
    <w:rsid w:val="001B7C5E"/>
    <w:rsid w:val="001C00EC"/>
    <w:rsid w:val="001C0279"/>
    <w:rsid w:val="001C0E1A"/>
    <w:rsid w:val="001C39EE"/>
    <w:rsid w:val="001C3F69"/>
    <w:rsid w:val="001C45FF"/>
    <w:rsid w:val="001C4A91"/>
    <w:rsid w:val="001D04FD"/>
    <w:rsid w:val="001D0A9F"/>
    <w:rsid w:val="001D0D96"/>
    <w:rsid w:val="001D4D5D"/>
    <w:rsid w:val="001D4F18"/>
    <w:rsid w:val="001D5AA1"/>
    <w:rsid w:val="001D70D6"/>
    <w:rsid w:val="001D7EB8"/>
    <w:rsid w:val="001E0C33"/>
    <w:rsid w:val="001E0E1F"/>
    <w:rsid w:val="001E1A36"/>
    <w:rsid w:val="001E1CCE"/>
    <w:rsid w:val="001E1E02"/>
    <w:rsid w:val="001E1ED7"/>
    <w:rsid w:val="001E2A6E"/>
    <w:rsid w:val="001E3797"/>
    <w:rsid w:val="001E41BE"/>
    <w:rsid w:val="001E6408"/>
    <w:rsid w:val="001E748A"/>
    <w:rsid w:val="001F1F7D"/>
    <w:rsid w:val="001F20F7"/>
    <w:rsid w:val="001F2296"/>
    <w:rsid w:val="001F37FE"/>
    <w:rsid w:val="001F49F7"/>
    <w:rsid w:val="001F4A47"/>
    <w:rsid w:val="001F4A87"/>
    <w:rsid w:val="001F510A"/>
    <w:rsid w:val="001F6E12"/>
    <w:rsid w:val="001F7463"/>
    <w:rsid w:val="001F7B08"/>
    <w:rsid w:val="00201881"/>
    <w:rsid w:val="00204A45"/>
    <w:rsid w:val="00204C51"/>
    <w:rsid w:val="00205287"/>
    <w:rsid w:val="00210450"/>
    <w:rsid w:val="00211FE2"/>
    <w:rsid w:val="00213526"/>
    <w:rsid w:val="00213AD8"/>
    <w:rsid w:val="00214034"/>
    <w:rsid w:val="0021608E"/>
    <w:rsid w:val="00216767"/>
    <w:rsid w:val="00216ADE"/>
    <w:rsid w:val="0021725D"/>
    <w:rsid w:val="00217A28"/>
    <w:rsid w:val="00220B65"/>
    <w:rsid w:val="00220C8B"/>
    <w:rsid w:val="00222C97"/>
    <w:rsid w:val="00224223"/>
    <w:rsid w:val="00224496"/>
    <w:rsid w:val="002268D3"/>
    <w:rsid w:val="00227A71"/>
    <w:rsid w:val="00231686"/>
    <w:rsid w:val="00231CEE"/>
    <w:rsid w:val="00234647"/>
    <w:rsid w:val="00235EDD"/>
    <w:rsid w:val="00235EEA"/>
    <w:rsid w:val="0023680B"/>
    <w:rsid w:val="0023738E"/>
    <w:rsid w:val="00240BE6"/>
    <w:rsid w:val="00240C2C"/>
    <w:rsid w:val="00243DAF"/>
    <w:rsid w:val="0024569B"/>
    <w:rsid w:val="0024588E"/>
    <w:rsid w:val="00245CF0"/>
    <w:rsid w:val="00245EA0"/>
    <w:rsid w:val="002461B0"/>
    <w:rsid w:val="00246A09"/>
    <w:rsid w:val="002504DF"/>
    <w:rsid w:val="00250F75"/>
    <w:rsid w:val="00252A7F"/>
    <w:rsid w:val="0025309C"/>
    <w:rsid w:val="0025368A"/>
    <w:rsid w:val="002536CB"/>
    <w:rsid w:val="00254016"/>
    <w:rsid w:val="0025401C"/>
    <w:rsid w:val="002545AC"/>
    <w:rsid w:val="0025571E"/>
    <w:rsid w:val="00257E0F"/>
    <w:rsid w:val="00260387"/>
    <w:rsid w:val="00264BE6"/>
    <w:rsid w:val="00266DC9"/>
    <w:rsid w:val="00266F23"/>
    <w:rsid w:val="0026741E"/>
    <w:rsid w:val="00267CD6"/>
    <w:rsid w:val="002700A5"/>
    <w:rsid w:val="002704FA"/>
    <w:rsid w:val="00273C13"/>
    <w:rsid w:val="00274341"/>
    <w:rsid w:val="00275B4C"/>
    <w:rsid w:val="00275D35"/>
    <w:rsid w:val="00276B7F"/>
    <w:rsid w:val="00283131"/>
    <w:rsid w:val="0028363D"/>
    <w:rsid w:val="00290706"/>
    <w:rsid w:val="00291049"/>
    <w:rsid w:val="002920D8"/>
    <w:rsid w:val="0029260B"/>
    <w:rsid w:val="00293A5D"/>
    <w:rsid w:val="00294417"/>
    <w:rsid w:val="00294D49"/>
    <w:rsid w:val="0029556D"/>
    <w:rsid w:val="00296681"/>
    <w:rsid w:val="00296AA7"/>
    <w:rsid w:val="002A0D41"/>
    <w:rsid w:val="002A23D7"/>
    <w:rsid w:val="002A266D"/>
    <w:rsid w:val="002A27DB"/>
    <w:rsid w:val="002A2D43"/>
    <w:rsid w:val="002A2FA8"/>
    <w:rsid w:val="002A3006"/>
    <w:rsid w:val="002A50CC"/>
    <w:rsid w:val="002A5352"/>
    <w:rsid w:val="002A5C29"/>
    <w:rsid w:val="002B0E2C"/>
    <w:rsid w:val="002B12E5"/>
    <w:rsid w:val="002B13B1"/>
    <w:rsid w:val="002B2045"/>
    <w:rsid w:val="002B2C4B"/>
    <w:rsid w:val="002B4B6C"/>
    <w:rsid w:val="002B6D92"/>
    <w:rsid w:val="002C00E4"/>
    <w:rsid w:val="002C05DE"/>
    <w:rsid w:val="002C0BE2"/>
    <w:rsid w:val="002C0E21"/>
    <w:rsid w:val="002C202F"/>
    <w:rsid w:val="002C2980"/>
    <w:rsid w:val="002C4948"/>
    <w:rsid w:val="002C60FA"/>
    <w:rsid w:val="002C61E2"/>
    <w:rsid w:val="002C66B9"/>
    <w:rsid w:val="002C6754"/>
    <w:rsid w:val="002D1304"/>
    <w:rsid w:val="002D14B9"/>
    <w:rsid w:val="002D2349"/>
    <w:rsid w:val="002D30C7"/>
    <w:rsid w:val="002D3938"/>
    <w:rsid w:val="002D71F1"/>
    <w:rsid w:val="002D7D10"/>
    <w:rsid w:val="002E1A9A"/>
    <w:rsid w:val="002E3C09"/>
    <w:rsid w:val="002E3E78"/>
    <w:rsid w:val="002E5C01"/>
    <w:rsid w:val="002E6204"/>
    <w:rsid w:val="002E710F"/>
    <w:rsid w:val="002E7ECD"/>
    <w:rsid w:val="002F09B6"/>
    <w:rsid w:val="002F23C1"/>
    <w:rsid w:val="002F2452"/>
    <w:rsid w:val="002F318F"/>
    <w:rsid w:val="002F3CF8"/>
    <w:rsid w:val="002F5275"/>
    <w:rsid w:val="002F5A1A"/>
    <w:rsid w:val="002F6C3F"/>
    <w:rsid w:val="002F6D27"/>
    <w:rsid w:val="002F7A98"/>
    <w:rsid w:val="00300B4F"/>
    <w:rsid w:val="00300C63"/>
    <w:rsid w:val="00301FAF"/>
    <w:rsid w:val="0030230A"/>
    <w:rsid w:val="003044DF"/>
    <w:rsid w:val="00304BD4"/>
    <w:rsid w:val="00304BEC"/>
    <w:rsid w:val="003059FF"/>
    <w:rsid w:val="00305AEF"/>
    <w:rsid w:val="00306256"/>
    <w:rsid w:val="003063B4"/>
    <w:rsid w:val="00306B8B"/>
    <w:rsid w:val="00307B5D"/>
    <w:rsid w:val="00310FC4"/>
    <w:rsid w:val="003113D2"/>
    <w:rsid w:val="00311FB1"/>
    <w:rsid w:val="00312364"/>
    <w:rsid w:val="00313023"/>
    <w:rsid w:val="00313F57"/>
    <w:rsid w:val="00314E02"/>
    <w:rsid w:val="003153D5"/>
    <w:rsid w:val="003164EE"/>
    <w:rsid w:val="00317933"/>
    <w:rsid w:val="00323B73"/>
    <w:rsid w:val="0032573D"/>
    <w:rsid w:val="003261B6"/>
    <w:rsid w:val="00330E00"/>
    <w:rsid w:val="00335396"/>
    <w:rsid w:val="0033591C"/>
    <w:rsid w:val="00337478"/>
    <w:rsid w:val="003401CD"/>
    <w:rsid w:val="00340F0E"/>
    <w:rsid w:val="00341090"/>
    <w:rsid w:val="00341AE0"/>
    <w:rsid w:val="00341AF4"/>
    <w:rsid w:val="003432AE"/>
    <w:rsid w:val="0034484B"/>
    <w:rsid w:val="00345097"/>
    <w:rsid w:val="003464E0"/>
    <w:rsid w:val="00346E72"/>
    <w:rsid w:val="00350DF8"/>
    <w:rsid w:val="00352BB0"/>
    <w:rsid w:val="00353A91"/>
    <w:rsid w:val="00355DC3"/>
    <w:rsid w:val="003560F0"/>
    <w:rsid w:val="00360306"/>
    <w:rsid w:val="00360308"/>
    <w:rsid w:val="00362608"/>
    <w:rsid w:val="003633BE"/>
    <w:rsid w:val="00363612"/>
    <w:rsid w:val="00363AD9"/>
    <w:rsid w:val="00363B6A"/>
    <w:rsid w:val="00364909"/>
    <w:rsid w:val="0036536A"/>
    <w:rsid w:val="00365CE6"/>
    <w:rsid w:val="00366557"/>
    <w:rsid w:val="003669E9"/>
    <w:rsid w:val="00366B2A"/>
    <w:rsid w:val="00367A9B"/>
    <w:rsid w:val="0037009A"/>
    <w:rsid w:val="003715F2"/>
    <w:rsid w:val="00371648"/>
    <w:rsid w:val="00371B2A"/>
    <w:rsid w:val="00372643"/>
    <w:rsid w:val="0037274A"/>
    <w:rsid w:val="00373314"/>
    <w:rsid w:val="00374037"/>
    <w:rsid w:val="00374531"/>
    <w:rsid w:val="00374715"/>
    <w:rsid w:val="00374E62"/>
    <w:rsid w:val="0037587B"/>
    <w:rsid w:val="00377027"/>
    <w:rsid w:val="003778CD"/>
    <w:rsid w:val="00377D24"/>
    <w:rsid w:val="003806E7"/>
    <w:rsid w:val="00380735"/>
    <w:rsid w:val="003810DF"/>
    <w:rsid w:val="0038258E"/>
    <w:rsid w:val="00382A2C"/>
    <w:rsid w:val="003835FA"/>
    <w:rsid w:val="00385A22"/>
    <w:rsid w:val="00385CF3"/>
    <w:rsid w:val="00386417"/>
    <w:rsid w:val="003866B7"/>
    <w:rsid w:val="00387756"/>
    <w:rsid w:val="00387CFE"/>
    <w:rsid w:val="0039198D"/>
    <w:rsid w:val="00391B6F"/>
    <w:rsid w:val="00391DA5"/>
    <w:rsid w:val="0039485B"/>
    <w:rsid w:val="00396DF7"/>
    <w:rsid w:val="00397787"/>
    <w:rsid w:val="003A09CD"/>
    <w:rsid w:val="003A1C9A"/>
    <w:rsid w:val="003A299A"/>
    <w:rsid w:val="003A2F3F"/>
    <w:rsid w:val="003A3CBB"/>
    <w:rsid w:val="003A4428"/>
    <w:rsid w:val="003A6359"/>
    <w:rsid w:val="003B25A0"/>
    <w:rsid w:val="003B4127"/>
    <w:rsid w:val="003B4377"/>
    <w:rsid w:val="003B542B"/>
    <w:rsid w:val="003C02D4"/>
    <w:rsid w:val="003C03FD"/>
    <w:rsid w:val="003C0CEB"/>
    <w:rsid w:val="003C270A"/>
    <w:rsid w:val="003C2BE6"/>
    <w:rsid w:val="003C7966"/>
    <w:rsid w:val="003C7AA9"/>
    <w:rsid w:val="003D1154"/>
    <w:rsid w:val="003D2EF4"/>
    <w:rsid w:val="003D4D67"/>
    <w:rsid w:val="003D5641"/>
    <w:rsid w:val="003D58E8"/>
    <w:rsid w:val="003D5D6B"/>
    <w:rsid w:val="003D690E"/>
    <w:rsid w:val="003D6DAE"/>
    <w:rsid w:val="003D7CED"/>
    <w:rsid w:val="003E0B7C"/>
    <w:rsid w:val="003E1679"/>
    <w:rsid w:val="003E21A2"/>
    <w:rsid w:val="003E28E7"/>
    <w:rsid w:val="003E59C8"/>
    <w:rsid w:val="003E65C0"/>
    <w:rsid w:val="003F0ABB"/>
    <w:rsid w:val="003F0DD1"/>
    <w:rsid w:val="003F299D"/>
    <w:rsid w:val="003F3610"/>
    <w:rsid w:val="003F414E"/>
    <w:rsid w:val="003F7D0C"/>
    <w:rsid w:val="003F7DA3"/>
    <w:rsid w:val="00401C4D"/>
    <w:rsid w:val="00401F9F"/>
    <w:rsid w:val="004020AF"/>
    <w:rsid w:val="004028F4"/>
    <w:rsid w:val="00404108"/>
    <w:rsid w:val="00405FBF"/>
    <w:rsid w:val="00406507"/>
    <w:rsid w:val="00406669"/>
    <w:rsid w:val="0040752C"/>
    <w:rsid w:val="00407E98"/>
    <w:rsid w:val="00411759"/>
    <w:rsid w:val="00412976"/>
    <w:rsid w:val="004131B7"/>
    <w:rsid w:val="00415312"/>
    <w:rsid w:val="00416700"/>
    <w:rsid w:val="004203EB"/>
    <w:rsid w:val="004213F8"/>
    <w:rsid w:val="004257B5"/>
    <w:rsid w:val="00426BA9"/>
    <w:rsid w:val="00426EDA"/>
    <w:rsid w:val="00427080"/>
    <w:rsid w:val="00427605"/>
    <w:rsid w:val="00427C17"/>
    <w:rsid w:val="004307AE"/>
    <w:rsid w:val="00431272"/>
    <w:rsid w:val="00431DD5"/>
    <w:rsid w:val="00431EA2"/>
    <w:rsid w:val="00432166"/>
    <w:rsid w:val="00432B98"/>
    <w:rsid w:val="004344FE"/>
    <w:rsid w:val="00436F27"/>
    <w:rsid w:val="004373EA"/>
    <w:rsid w:val="004419C1"/>
    <w:rsid w:val="00442A8D"/>
    <w:rsid w:val="00442D05"/>
    <w:rsid w:val="004457E3"/>
    <w:rsid w:val="00445C14"/>
    <w:rsid w:val="00446D43"/>
    <w:rsid w:val="004473FE"/>
    <w:rsid w:val="00447683"/>
    <w:rsid w:val="00447DC9"/>
    <w:rsid w:val="00447EDB"/>
    <w:rsid w:val="00450258"/>
    <w:rsid w:val="00450ED8"/>
    <w:rsid w:val="0045198F"/>
    <w:rsid w:val="0045214F"/>
    <w:rsid w:val="00452561"/>
    <w:rsid w:val="0045418E"/>
    <w:rsid w:val="004557AE"/>
    <w:rsid w:val="00455C5A"/>
    <w:rsid w:val="00455C5E"/>
    <w:rsid w:val="0045762C"/>
    <w:rsid w:val="00457702"/>
    <w:rsid w:val="004579BA"/>
    <w:rsid w:val="004611D8"/>
    <w:rsid w:val="00462083"/>
    <w:rsid w:val="004625F5"/>
    <w:rsid w:val="00462809"/>
    <w:rsid w:val="00463F90"/>
    <w:rsid w:val="00464C61"/>
    <w:rsid w:val="0046588E"/>
    <w:rsid w:val="0046617E"/>
    <w:rsid w:val="00467640"/>
    <w:rsid w:val="00467E2F"/>
    <w:rsid w:val="004717D3"/>
    <w:rsid w:val="00472102"/>
    <w:rsid w:val="00472DD3"/>
    <w:rsid w:val="00472ED4"/>
    <w:rsid w:val="00472FAB"/>
    <w:rsid w:val="00476149"/>
    <w:rsid w:val="00476246"/>
    <w:rsid w:val="00476510"/>
    <w:rsid w:val="0047794A"/>
    <w:rsid w:val="00481108"/>
    <w:rsid w:val="004818BC"/>
    <w:rsid w:val="00481C2D"/>
    <w:rsid w:val="00484ADB"/>
    <w:rsid w:val="00484DDE"/>
    <w:rsid w:val="004876DE"/>
    <w:rsid w:val="00487AE4"/>
    <w:rsid w:val="00487CE9"/>
    <w:rsid w:val="0049213E"/>
    <w:rsid w:val="00492CF4"/>
    <w:rsid w:val="00493B27"/>
    <w:rsid w:val="00493F0A"/>
    <w:rsid w:val="004948E2"/>
    <w:rsid w:val="0049495D"/>
    <w:rsid w:val="00494AE2"/>
    <w:rsid w:val="00495260"/>
    <w:rsid w:val="00495303"/>
    <w:rsid w:val="004959E8"/>
    <w:rsid w:val="00497669"/>
    <w:rsid w:val="00497AED"/>
    <w:rsid w:val="004A0192"/>
    <w:rsid w:val="004A18AD"/>
    <w:rsid w:val="004A1965"/>
    <w:rsid w:val="004A2787"/>
    <w:rsid w:val="004A2CE0"/>
    <w:rsid w:val="004A3CAF"/>
    <w:rsid w:val="004A3E9B"/>
    <w:rsid w:val="004A418C"/>
    <w:rsid w:val="004A4191"/>
    <w:rsid w:val="004A4B1B"/>
    <w:rsid w:val="004A54EF"/>
    <w:rsid w:val="004A5A40"/>
    <w:rsid w:val="004A6AAC"/>
    <w:rsid w:val="004A7885"/>
    <w:rsid w:val="004B0237"/>
    <w:rsid w:val="004B09DE"/>
    <w:rsid w:val="004B0AD0"/>
    <w:rsid w:val="004B1ED4"/>
    <w:rsid w:val="004B31F9"/>
    <w:rsid w:val="004B3EB4"/>
    <w:rsid w:val="004B5E80"/>
    <w:rsid w:val="004C19AE"/>
    <w:rsid w:val="004C1ED0"/>
    <w:rsid w:val="004C1F60"/>
    <w:rsid w:val="004C1F94"/>
    <w:rsid w:val="004C2218"/>
    <w:rsid w:val="004C5477"/>
    <w:rsid w:val="004C5877"/>
    <w:rsid w:val="004C5886"/>
    <w:rsid w:val="004C75C1"/>
    <w:rsid w:val="004C7FCB"/>
    <w:rsid w:val="004D0182"/>
    <w:rsid w:val="004D0718"/>
    <w:rsid w:val="004D27C0"/>
    <w:rsid w:val="004D548A"/>
    <w:rsid w:val="004E107C"/>
    <w:rsid w:val="004E1312"/>
    <w:rsid w:val="004E332C"/>
    <w:rsid w:val="004E368A"/>
    <w:rsid w:val="004E3A1A"/>
    <w:rsid w:val="004E46DA"/>
    <w:rsid w:val="004E4C95"/>
    <w:rsid w:val="004E6559"/>
    <w:rsid w:val="004E6D4D"/>
    <w:rsid w:val="004E79B6"/>
    <w:rsid w:val="004E7B08"/>
    <w:rsid w:val="004F1CDE"/>
    <w:rsid w:val="004F3622"/>
    <w:rsid w:val="004F7789"/>
    <w:rsid w:val="00503D8F"/>
    <w:rsid w:val="00503DB7"/>
    <w:rsid w:val="00504217"/>
    <w:rsid w:val="00504252"/>
    <w:rsid w:val="0050438E"/>
    <w:rsid w:val="0050478A"/>
    <w:rsid w:val="0050482D"/>
    <w:rsid w:val="00504DB0"/>
    <w:rsid w:val="005115BF"/>
    <w:rsid w:val="0051387F"/>
    <w:rsid w:val="00515589"/>
    <w:rsid w:val="00515630"/>
    <w:rsid w:val="00516EB7"/>
    <w:rsid w:val="00517446"/>
    <w:rsid w:val="00517AB5"/>
    <w:rsid w:val="00517C40"/>
    <w:rsid w:val="005206EB"/>
    <w:rsid w:val="005209A5"/>
    <w:rsid w:val="00522246"/>
    <w:rsid w:val="00522C55"/>
    <w:rsid w:val="005233DE"/>
    <w:rsid w:val="005233E6"/>
    <w:rsid w:val="0052429D"/>
    <w:rsid w:val="00524880"/>
    <w:rsid w:val="005257B9"/>
    <w:rsid w:val="005259FB"/>
    <w:rsid w:val="00525F17"/>
    <w:rsid w:val="0052672B"/>
    <w:rsid w:val="00526C15"/>
    <w:rsid w:val="00527277"/>
    <w:rsid w:val="00527693"/>
    <w:rsid w:val="00527871"/>
    <w:rsid w:val="00530024"/>
    <w:rsid w:val="005319EE"/>
    <w:rsid w:val="0053291A"/>
    <w:rsid w:val="0053373E"/>
    <w:rsid w:val="00533B4C"/>
    <w:rsid w:val="00533F25"/>
    <w:rsid w:val="00534192"/>
    <w:rsid w:val="00535376"/>
    <w:rsid w:val="00535843"/>
    <w:rsid w:val="00536BA9"/>
    <w:rsid w:val="00540E67"/>
    <w:rsid w:val="00541394"/>
    <w:rsid w:val="005414FD"/>
    <w:rsid w:val="0054223A"/>
    <w:rsid w:val="00542F9D"/>
    <w:rsid w:val="005463A6"/>
    <w:rsid w:val="00546ECF"/>
    <w:rsid w:val="00546FF1"/>
    <w:rsid w:val="005475D8"/>
    <w:rsid w:val="00547D81"/>
    <w:rsid w:val="00550E18"/>
    <w:rsid w:val="00550E6D"/>
    <w:rsid w:val="00552684"/>
    <w:rsid w:val="00553327"/>
    <w:rsid w:val="005547F1"/>
    <w:rsid w:val="00555404"/>
    <w:rsid w:val="00555817"/>
    <w:rsid w:val="0055691A"/>
    <w:rsid w:val="00562662"/>
    <w:rsid w:val="00562A61"/>
    <w:rsid w:val="00563D05"/>
    <w:rsid w:val="00564109"/>
    <w:rsid w:val="00564D42"/>
    <w:rsid w:val="0056512E"/>
    <w:rsid w:val="005654D5"/>
    <w:rsid w:val="00566EB3"/>
    <w:rsid w:val="005706BA"/>
    <w:rsid w:val="00571029"/>
    <w:rsid w:val="00571157"/>
    <w:rsid w:val="00572350"/>
    <w:rsid w:val="00574057"/>
    <w:rsid w:val="00574489"/>
    <w:rsid w:val="00575F21"/>
    <w:rsid w:val="005769E0"/>
    <w:rsid w:val="00580495"/>
    <w:rsid w:val="0058196D"/>
    <w:rsid w:val="00581B1F"/>
    <w:rsid w:val="0058228A"/>
    <w:rsid w:val="00582B00"/>
    <w:rsid w:val="00582DE7"/>
    <w:rsid w:val="005837CC"/>
    <w:rsid w:val="0058467A"/>
    <w:rsid w:val="005863C3"/>
    <w:rsid w:val="0059001F"/>
    <w:rsid w:val="00592A65"/>
    <w:rsid w:val="00593168"/>
    <w:rsid w:val="00593A4F"/>
    <w:rsid w:val="00595219"/>
    <w:rsid w:val="005961B5"/>
    <w:rsid w:val="0059724A"/>
    <w:rsid w:val="00597960"/>
    <w:rsid w:val="00597AF6"/>
    <w:rsid w:val="005A073E"/>
    <w:rsid w:val="005A11EE"/>
    <w:rsid w:val="005A3AE1"/>
    <w:rsid w:val="005A6E29"/>
    <w:rsid w:val="005A7026"/>
    <w:rsid w:val="005A7228"/>
    <w:rsid w:val="005B2840"/>
    <w:rsid w:val="005B2896"/>
    <w:rsid w:val="005B2DD5"/>
    <w:rsid w:val="005B322B"/>
    <w:rsid w:val="005B4AD4"/>
    <w:rsid w:val="005B5229"/>
    <w:rsid w:val="005B5AE5"/>
    <w:rsid w:val="005B6688"/>
    <w:rsid w:val="005B6C7B"/>
    <w:rsid w:val="005B71D8"/>
    <w:rsid w:val="005C1549"/>
    <w:rsid w:val="005C155C"/>
    <w:rsid w:val="005C1DD0"/>
    <w:rsid w:val="005C48C5"/>
    <w:rsid w:val="005C69EA"/>
    <w:rsid w:val="005C6E99"/>
    <w:rsid w:val="005C7B21"/>
    <w:rsid w:val="005D0E8A"/>
    <w:rsid w:val="005D24AC"/>
    <w:rsid w:val="005D2720"/>
    <w:rsid w:val="005D531D"/>
    <w:rsid w:val="005D5F94"/>
    <w:rsid w:val="005E055F"/>
    <w:rsid w:val="005E151C"/>
    <w:rsid w:val="005E15AA"/>
    <w:rsid w:val="005E252D"/>
    <w:rsid w:val="005E36E3"/>
    <w:rsid w:val="005E3B17"/>
    <w:rsid w:val="005E3F78"/>
    <w:rsid w:val="005E4F98"/>
    <w:rsid w:val="005E5001"/>
    <w:rsid w:val="005E589E"/>
    <w:rsid w:val="005E6420"/>
    <w:rsid w:val="005E7E08"/>
    <w:rsid w:val="005F06CE"/>
    <w:rsid w:val="005F081E"/>
    <w:rsid w:val="005F28E9"/>
    <w:rsid w:val="005F28EC"/>
    <w:rsid w:val="005F2BCA"/>
    <w:rsid w:val="005F2FBF"/>
    <w:rsid w:val="005F3508"/>
    <w:rsid w:val="005F417B"/>
    <w:rsid w:val="005F6480"/>
    <w:rsid w:val="005F67D3"/>
    <w:rsid w:val="005F7342"/>
    <w:rsid w:val="00602367"/>
    <w:rsid w:val="006026DB"/>
    <w:rsid w:val="006039D7"/>
    <w:rsid w:val="00605550"/>
    <w:rsid w:val="00605572"/>
    <w:rsid w:val="00605941"/>
    <w:rsid w:val="0060644A"/>
    <w:rsid w:val="00607579"/>
    <w:rsid w:val="00610252"/>
    <w:rsid w:val="00610360"/>
    <w:rsid w:val="00611585"/>
    <w:rsid w:val="00611A56"/>
    <w:rsid w:val="00611D45"/>
    <w:rsid w:val="00614048"/>
    <w:rsid w:val="006158BC"/>
    <w:rsid w:val="0061666E"/>
    <w:rsid w:val="00617B96"/>
    <w:rsid w:val="00621900"/>
    <w:rsid w:val="00622E5F"/>
    <w:rsid w:val="00627AAA"/>
    <w:rsid w:val="00630BED"/>
    <w:rsid w:val="00635A94"/>
    <w:rsid w:val="00641292"/>
    <w:rsid w:val="006413E1"/>
    <w:rsid w:val="006420B9"/>
    <w:rsid w:val="00642B7D"/>
    <w:rsid w:val="006436D6"/>
    <w:rsid w:val="00643BD6"/>
    <w:rsid w:val="00644BAA"/>
    <w:rsid w:val="006453C4"/>
    <w:rsid w:val="00645529"/>
    <w:rsid w:val="0064792F"/>
    <w:rsid w:val="00647A6F"/>
    <w:rsid w:val="00650C74"/>
    <w:rsid w:val="00651E35"/>
    <w:rsid w:val="00652F3D"/>
    <w:rsid w:val="0065375D"/>
    <w:rsid w:val="0065443D"/>
    <w:rsid w:val="00654C3A"/>
    <w:rsid w:val="0065535F"/>
    <w:rsid w:val="006558F0"/>
    <w:rsid w:val="00656704"/>
    <w:rsid w:val="00660934"/>
    <w:rsid w:val="00663D4C"/>
    <w:rsid w:val="006650C5"/>
    <w:rsid w:val="00665233"/>
    <w:rsid w:val="00667153"/>
    <w:rsid w:val="0066784C"/>
    <w:rsid w:val="006705EE"/>
    <w:rsid w:val="0067283F"/>
    <w:rsid w:val="00672935"/>
    <w:rsid w:val="00674642"/>
    <w:rsid w:val="0067526B"/>
    <w:rsid w:val="0067789E"/>
    <w:rsid w:val="00677A22"/>
    <w:rsid w:val="006810FE"/>
    <w:rsid w:val="006832BD"/>
    <w:rsid w:val="006832E3"/>
    <w:rsid w:val="00685A92"/>
    <w:rsid w:val="00685DF1"/>
    <w:rsid w:val="006905C5"/>
    <w:rsid w:val="00690902"/>
    <w:rsid w:val="00691D2C"/>
    <w:rsid w:val="00693FC5"/>
    <w:rsid w:val="006957DF"/>
    <w:rsid w:val="006A2F08"/>
    <w:rsid w:val="006A72D1"/>
    <w:rsid w:val="006B03B2"/>
    <w:rsid w:val="006B0FB0"/>
    <w:rsid w:val="006B1E4A"/>
    <w:rsid w:val="006B229D"/>
    <w:rsid w:val="006B31AA"/>
    <w:rsid w:val="006B3763"/>
    <w:rsid w:val="006B49D6"/>
    <w:rsid w:val="006B5B29"/>
    <w:rsid w:val="006B7537"/>
    <w:rsid w:val="006C1A1E"/>
    <w:rsid w:val="006C3707"/>
    <w:rsid w:val="006C3A1F"/>
    <w:rsid w:val="006C3EF7"/>
    <w:rsid w:val="006C4771"/>
    <w:rsid w:val="006C4F27"/>
    <w:rsid w:val="006C5C32"/>
    <w:rsid w:val="006C6384"/>
    <w:rsid w:val="006C6D46"/>
    <w:rsid w:val="006D0F6A"/>
    <w:rsid w:val="006D16D0"/>
    <w:rsid w:val="006D1D86"/>
    <w:rsid w:val="006D1DB3"/>
    <w:rsid w:val="006D2615"/>
    <w:rsid w:val="006D3EB3"/>
    <w:rsid w:val="006D4094"/>
    <w:rsid w:val="006D4F74"/>
    <w:rsid w:val="006D75E4"/>
    <w:rsid w:val="006E240C"/>
    <w:rsid w:val="006E2E18"/>
    <w:rsid w:val="006E3ED8"/>
    <w:rsid w:val="006E4508"/>
    <w:rsid w:val="006E499D"/>
    <w:rsid w:val="006E5001"/>
    <w:rsid w:val="006E5960"/>
    <w:rsid w:val="006E6ACC"/>
    <w:rsid w:val="006E7403"/>
    <w:rsid w:val="006E787B"/>
    <w:rsid w:val="006E7A64"/>
    <w:rsid w:val="006F1E2A"/>
    <w:rsid w:val="006F2A6F"/>
    <w:rsid w:val="006F34D8"/>
    <w:rsid w:val="006F4F29"/>
    <w:rsid w:val="006F58DC"/>
    <w:rsid w:val="006F661D"/>
    <w:rsid w:val="006F683E"/>
    <w:rsid w:val="006F6934"/>
    <w:rsid w:val="006F6CC3"/>
    <w:rsid w:val="006F6E2F"/>
    <w:rsid w:val="006F7587"/>
    <w:rsid w:val="006F75F5"/>
    <w:rsid w:val="00701F1E"/>
    <w:rsid w:val="00706270"/>
    <w:rsid w:val="00706BCA"/>
    <w:rsid w:val="007104D4"/>
    <w:rsid w:val="0071098B"/>
    <w:rsid w:val="00710CB8"/>
    <w:rsid w:val="00711A84"/>
    <w:rsid w:val="00712A07"/>
    <w:rsid w:val="00713D4D"/>
    <w:rsid w:val="00714F45"/>
    <w:rsid w:val="007152E8"/>
    <w:rsid w:val="00715B45"/>
    <w:rsid w:val="00715DA9"/>
    <w:rsid w:val="007204B4"/>
    <w:rsid w:val="00721507"/>
    <w:rsid w:val="007219B9"/>
    <w:rsid w:val="00722F68"/>
    <w:rsid w:val="0072336C"/>
    <w:rsid w:val="00725E46"/>
    <w:rsid w:val="00731320"/>
    <w:rsid w:val="00734787"/>
    <w:rsid w:val="007349D5"/>
    <w:rsid w:val="007356E6"/>
    <w:rsid w:val="00735C8F"/>
    <w:rsid w:val="00737340"/>
    <w:rsid w:val="0074087C"/>
    <w:rsid w:val="00741F5B"/>
    <w:rsid w:val="007433BE"/>
    <w:rsid w:val="0074662C"/>
    <w:rsid w:val="00746D69"/>
    <w:rsid w:val="00750A3F"/>
    <w:rsid w:val="0075228F"/>
    <w:rsid w:val="00752D74"/>
    <w:rsid w:val="0075344D"/>
    <w:rsid w:val="007543B9"/>
    <w:rsid w:val="0075518D"/>
    <w:rsid w:val="00755D29"/>
    <w:rsid w:val="00755DD9"/>
    <w:rsid w:val="00756EAE"/>
    <w:rsid w:val="0076010B"/>
    <w:rsid w:val="00760ECA"/>
    <w:rsid w:val="0076147F"/>
    <w:rsid w:val="00761F6D"/>
    <w:rsid w:val="007666AC"/>
    <w:rsid w:val="007668F7"/>
    <w:rsid w:val="0077158D"/>
    <w:rsid w:val="00772564"/>
    <w:rsid w:val="007732B5"/>
    <w:rsid w:val="00774739"/>
    <w:rsid w:val="007774AE"/>
    <w:rsid w:val="007776D1"/>
    <w:rsid w:val="00780A6D"/>
    <w:rsid w:val="00780A81"/>
    <w:rsid w:val="00780DA3"/>
    <w:rsid w:val="0078258E"/>
    <w:rsid w:val="00782676"/>
    <w:rsid w:val="0078327D"/>
    <w:rsid w:val="00784DA9"/>
    <w:rsid w:val="00785FAB"/>
    <w:rsid w:val="00786366"/>
    <w:rsid w:val="00786DB9"/>
    <w:rsid w:val="007870F0"/>
    <w:rsid w:val="00787541"/>
    <w:rsid w:val="00787EC1"/>
    <w:rsid w:val="0079344A"/>
    <w:rsid w:val="007943AB"/>
    <w:rsid w:val="00794821"/>
    <w:rsid w:val="00794C82"/>
    <w:rsid w:val="00795688"/>
    <w:rsid w:val="00795835"/>
    <w:rsid w:val="00796529"/>
    <w:rsid w:val="007969DC"/>
    <w:rsid w:val="007973DE"/>
    <w:rsid w:val="007A0B38"/>
    <w:rsid w:val="007A1B99"/>
    <w:rsid w:val="007A1E57"/>
    <w:rsid w:val="007A5E9F"/>
    <w:rsid w:val="007A613D"/>
    <w:rsid w:val="007A69AF"/>
    <w:rsid w:val="007B4493"/>
    <w:rsid w:val="007B5438"/>
    <w:rsid w:val="007B5CB0"/>
    <w:rsid w:val="007B7FC3"/>
    <w:rsid w:val="007C1D47"/>
    <w:rsid w:val="007C2B78"/>
    <w:rsid w:val="007C4DBA"/>
    <w:rsid w:val="007C59F8"/>
    <w:rsid w:val="007C5A80"/>
    <w:rsid w:val="007C729E"/>
    <w:rsid w:val="007D06E2"/>
    <w:rsid w:val="007D1627"/>
    <w:rsid w:val="007D25B9"/>
    <w:rsid w:val="007D3B15"/>
    <w:rsid w:val="007D57D2"/>
    <w:rsid w:val="007D5E6A"/>
    <w:rsid w:val="007D73C2"/>
    <w:rsid w:val="007D7F1B"/>
    <w:rsid w:val="007E029B"/>
    <w:rsid w:val="007E12C1"/>
    <w:rsid w:val="007E1632"/>
    <w:rsid w:val="007E17D8"/>
    <w:rsid w:val="007E1AB1"/>
    <w:rsid w:val="007E36BD"/>
    <w:rsid w:val="007E3CFD"/>
    <w:rsid w:val="007E4592"/>
    <w:rsid w:val="007E47AA"/>
    <w:rsid w:val="007E62E4"/>
    <w:rsid w:val="007E63F0"/>
    <w:rsid w:val="007E6A7F"/>
    <w:rsid w:val="007E6FFE"/>
    <w:rsid w:val="007E77EF"/>
    <w:rsid w:val="007F02EE"/>
    <w:rsid w:val="007F0D39"/>
    <w:rsid w:val="007F0D7A"/>
    <w:rsid w:val="007F2AB3"/>
    <w:rsid w:val="007F3E69"/>
    <w:rsid w:val="007F4680"/>
    <w:rsid w:val="007F5108"/>
    <w:rsid w:val="007F57E6"/>
    <w:rsid w:val="007F5BBB"/>
    <w:rsid w:val="007F66FE"/>
    <w:rsid w:val="007F6B3A"/>
    <w:rsid w:val="007F76F0"/>
    <w:rsid w:val="007F7DAC"/>
    <w:rsid w:val="00800C09"/>
    <w:rsid w:val="008011CD"/>
    <w:rsid w:val="0080521A"/>
    <w:rsid w:val="008101C0"/>
    <w:rsid w:val="008102DC"/>
    <w:rsid w:val="0081133F"/>
    <w:rsid w:val="008124ED"/>
    <w:rsid w:val="00814A89"/>
    <w:rsid w:val="0081590C"/>
    <w:rsid w:val="00820F4A"/>
    <w:rsid w:val="008246B0"/>
    <w:rsid w:val="008255F1"/>
    <w:rsid w:val="00825CAB"/>
    <w:rsid w:val="008263E2"/>
    <w:rsid w:val="00831FF1"/>
    <w:rsid w:val="00832412"/>
    <w:rsid w:val="008326EB"/>
    <w:rsid w:val="008344A3"/>
    <w:rsid w:val="0083521F"/>
    <w:rsid w:val="00835309"/>
    <w:rsid w:val="00835A81"/>
    <w:rsid w:val="00835E8E"/>
    <w:rsid w:val="00836701"/>
    <w:rsid w:val="00837B6E"/>
    <w:rsid w:val="00837BF0"/>
    <w:rsid w:val="00841411"/>
    <w:rsid w:val="0084157F"/>
    <w:rsid w:val="00841A3F"/>
    <w:rsid w:val="008440CE"/>
    <w:rsid w:val="00844673"/>
    <w:rsid w:val="008459C8"/>
    <w:rsid w:val="00845C3D"/>
    <w:rsid w:val="00846FE4"/>
    <w:rsid w:val="00851E85"/>
    <w:rsid w:val="00852340"/>
    <w:rsid w:val="008524E1"/>
    <w:rsid w:val="00853B37"/>
    <w:rsid w:val="00854695"/>
    <w:rsid w:val="0085690F"/>
    <w:rsid w:val="00856C0C"/>
    <w:rsid w:val="00857580"/>
    <w:rsid w:val="00857B7C"/>
    <w:rsid w:val="00861BCF"/>
    <w:rsid w:val="00862231"/>
    <w:rsid w:val="00862E52"/>
    <w:rsid w:val="0086740C"/>
    <w:rsid w:val="0086747B"/>
    <w:rsid w:val="008705E4"/>
    <w:rsid w:val="00870CB5"/>
    <w:rsid w:val="00871F17"/>
    <w:rsid w:val="00873519"/>
    <w:rsid w:val="00875344"/>
    <w:rsid w:val="00875C5F"/>
    <w:rsid w:val="00876C87"/>
    <w:rsid w:val="0087780A"/>
    <w:rsid w:val="00877EF4"/>
    <w:rsid w:val="00880485"/>
    <w:rsid w:val="00881D67"/>
    <w:rsid w:val="0088304A"/>
    <w:rsid w:val="0088353A"/>
    <w:rsid w:val="00886C81"/>
    <w:rsid w:val="00887298"/>
    <w:rsid w:val="00887B70"/>
    <w:rsid w:val="00887BD2"/>
    <w:rsid w:val="00892591"/>
    <w:rsid w:val="008928BC"/>
    <w:rsid w:val="00892FEF"/>
    <w:rsid w:val="008935C6"/>
    <w:rsid w:val="008946A2"/>
    <w:rsid w:val="00895805"/>
    <w:rsid w:val="00895884"/>
    <w:rsid w:val="00896439"/>
    <w:rsid w:val="00896622"/>
    <w:rsid w:val="008A0CC5"/>
    <w:rsid w:val="008A33AB"/>
    <w:rsid w:val="008A395E"/>
    <w:rsid w:val="008A431A"/>
    <w:rsid w:val="008A5F58"/>
    <w:rsid w:val="008A6183"/>
    <w:rsid w:val="008A688D"/>
    <w:rsid w:val="008B0482"/>
    <w:rsid w:val="008B0C18"/>
    <w:rsid w:val="008B2661"/>
    <w:rsid w:val="008B2B7F"/>
    <w:rsid w:val="008B4AD7"/>
    <w:rsid w:val="008B50CA"/>
    <w:rsid w:val="008B66F2"/>
    <w:rsid w:val="008B6C42"/>
    <w:rsid w:val="008B70CD"/>
    <w:rsid w:val="008C10C7"/>
    <w:rsid w:val="008C1512"/>
    <w:rsid w:val="008C206B"/>
    <w:rsid w:val="008C24EE"/>
    <w:rsid w:val="008C25DC"/>
    <w:rsid w:val="008C29A9"/>
    <w:rsid w:val="008C3ABE"/>
    <w:rsid w:val="008C3FEB"/>
    <w:rsid w:val="008C52CE"/>
    <w:rsid w:val="008C5F21"/>
    <w:rsid w:val="008C6DBE"/>
    <w:rsid w:val="008C74AC"/>
    <w:rsid w:val="008C78D9"/>
    <w:rsid w:val="008D1F8E"/>
    <w:rsid w:val="008D52F9"/>
    <w:rsid w:val="008E19BF"/>
    <w:rsid w:val="008E3870"/>
    <w:rsid w:val="008E3F42"/>
    <w:rsid w:val="008E4F96"/>
    <w:rsid w:val="008E6195"/>
    <w:rsid w:val="008E6AD9"/>
    <w:rsid w:val="008E70BC"/>
    <w:rsid w:val="008F084B"/>
    <w:rsid w:val="008F26BE"/>
    <w:rsid w:val="008F3CFE"/>
    <w:rsid w:val="008F47FB"/>
    <w:rsid w:val="008F566A"/>
    <w:rsid w:val="008F7785"/>
    <w:rsid w:val="008F7C91"/>
    <w:rsid w:val="008F7DBD"/>
    <w:rsid w:val="00901DA4"/>
    <w:rsid w:val="00903856"/>
    <w:rsid w:val="00903B5A"/>
    <w:rsid w:val="009041E1"/>
    <w:rsid w:val="009066F6"/>
    <w:rsid w:val="00906726"/>
    <w:rsid w:val="00906974"/>
    <w:rsid w:val="00906E82"/>
    <w:rsid w:val="00906EA7"/>
    <w:rsid w:val="009077C9"/>
    <w:rsid w:val="00907E67"/>
    <w:rsid w:val="009132BA"/>
    <w:rsid w:val="009134F8"/>
    <w:rsid w:val="00915675"/>
    <w:rsid w:val="0091676E"/>
    <w:rsid w:val="00916826"/>
    <w:rsid w:val="009218CE"/>
    <w:rsid w:val="00922305"/>
    <w:rsid w:val="0092387B"/>
    <w:rsid w:val="00924644"/>
    <w:rsid w:val="00924A40"/>
    <w:rsid w:val="00924D7D"/>
    <w:rsid w:val="009258B8"/>
    <w:rsid w:val="00925EDD"/>
    <w:rsid w:val="00925F7A"/>
    <w:rsid w:val="0092649A"/>
    <w:rsid w:val="009271A7"/>
    <w:rsid w:val="009278B3"/>
    <w:rsid w:val="00931171"/>
    <w:rsid w:val="009316D7"/>
    <w:rsid w:val="00931DBF"/>
    <w:rsid w:val="009336E7"/>
    <w:rsid w:val="00933B89"/>
    <w:rsid w:val="00934D02"/>
    <w:rsid w:val="00935474"/>
    <w:rsid w:val="0093652A"/>
    <w:rsid w:val="00937F41"/>
    <w:rsid w:val="00940407"/>
    <w:rsid w:val="009406CD"/>
    <w:rsid w:val="009414D5"/>
    <w:rsid w:val="0094241D"/>
    <w:rsid w:val="0094299C"/>
    <w:rsid w:val="009430F4"/>
    <w:rsid w:val="0094341F"/>
    <w:rsid w:val="00943C47"/>
    <w:rsid w:val="00943E0B"/>
    <w:rsid w:val="009441A6"/>
    <w:rsid w:val="00944454"/>
    <w:rsid w:val="00944554"/>
    <w:rsid w:val="00945807"/>
    <w:rsid w:val="00946185"/>
    <w:rsid w:val="0094781E"/>
    <w:rsid w:val="009513D0"/>
    <w:rsid w:val="0095163B"/>
    <w:rsid w:val="00954198"/>
    <w:rsid w:val="00955BAB"/>
    <w:rsid w:val="00955CD3"/>
    <w:rsid w:val="00956083"/>
    <w:rsid w:val="009564D2"/>
    <w:rsid w:val="009575D4"/>
    <w:rsid w:val="00957EF8"/>
    <w:rsid w:val="0096044B"/>
    <w:rsid w:val="00960C90"/>
    <w:rsid w:val="00960D7D"/>
    <w:rsid w:val="00961B4C"/>
    <w:rsid w:val="00961F69"/>
    <w:rsid w:val="009620CD"/>
    <w:rsid w:val="00962233"/>
    <w:rsid w:val="00962306"/>
    <w:rsid w:val="009635B2"/>
    <w:rsid w:val="00963941"/>
    <w:rsid w:val="009654D1"/>
    <w:rsid w:val="0096552E"/>
    <w:rsid w:val="00966103"/>
    <w:rsid w:val="009679B6"/>
    <w:rsid w:val="00970484"/>
    <w:rsid w:val="009708FE"/>
    <w:rsid w:val="0097107F"/>
    <w:rsid w:val="00973A37"/>
    <w:rsid w:val="00974375"/>
    <w:rsid w:val="00974832"/>
    <w:rsid w:val="009751D4"/>
    <w:rsid w:val="009754F8"/>
    <w:rsid w:val="0097660A"/>
    <w:rsid w:val="009803AC"/>
    <w:rsid w:val="0098327B"/>
    <w:rsid w:val="0098350C"/>
    <w:rsid w:val="0098363E"/>
    <w:rsid w:val="00983FAA"/>
    <w:rsid w:val="00990156"/>
    <w:rsid w:val="00993B6A"/>
    <w:rsid w:val="00993C6D"/>
    <w:rsid w:val="00995579"/>
    <w:rsid w:val="0099600E"/>
    <w:rsid w:val="00996A71"/>
    <w:rsid w:val="00997038"/>
    <w:rsid w:val="009977A0"/>
    <w:rsid w:val="009A1565"/>
    <w:rsid w:val="009A34A7"/>
    <w:rsid w:val="009A3619"/>
    <w:rsid w:val="009A5B38"/>
    <w:rsid w:val="009A5CC0"/>
    <w:rsid w:val="009B0090"/>
    <w:rsid w:val="009B0BD8"/>
    <w:rsid w:val="009B1354"/>
    <w:rsid w:val="009B26CE"/>
    <w:rsid w:val="009B3367"/>
    <w:rsid w:val="009B3DA4"/>
    <w:rsid w:val="009B471B"/>
    <w:rsid w:val="009B6838"/>
    <w:rsid w:val="009C0F36"/>
    <w:rsid w:val="009C18A0"/>
    <w:rsid w:val="009C1FC9"/>
    <w:rsid w:val="009C218A"/>
    <w:rsid w:val="009C4083"/>
    <w:rsid w:val="009C496A"/>
    <w:rsid w:val="009C4A8B"/>
    <w:rsid w:val="009C74C3"/>
    <w:rsid w:val="009C75D2"/>
    <w:rsid w:val="009C795E"/>
    <w:rsid w:val="009D0328"/>
    <w:rsid w:val="009D0C5F"/>
    <w:rsid w:val="009D0E8D"/>
    <w:rsid w:val="009D12C0"/>
    <w:rsid w:val="009D2ACA"/>
    <w:rsid w:val="009D71C9"/>
    <w:rsid w:val="009E0DC2"/>
    <w:rsid w:val="009E336A"/>
    <w:rsid w:val="009E380C"/>
    <w:rsid w:val="009E3DA8"/>
    <w:rsid w:val="009E511F"/>
    <w:rsid w:val="009E5B56"/>
    <w:rsid w:val="009E67D6"/>
    <w:rsid w:val="009E6937"/>
    <w:rsid w:val="009E7D7C"/>
    <w:rsid w:val="009E7FC0"/>
    <w:rsid w:val="009F0089"/>
    <w:rsid w:val="009F2D48"/>
    <w:rsid w:val="009F44AA"/>
    <w:rsid w:val="009F510F"/>
    <w:rsid w:val="009F58C9"/>
    <w:rsid w:val="009F7050"/>
    <w:rsid w:val="00A01D49"/>
    <w:rsid w:val="00A03687"/>
    <w:rsid w:val="00A1259E"/>
    <w:rsid w:val="00A12E4D"/>
    <w:rsid w:val="00A15269"/>
    <w:rsid w:val="00A16BB1"/>
    <w:rsid w:val="00A17916"/>
    <w:rsid w:val="00A20918"/>
    <w:rsid w:val="00A20EAE"/>
    <w:rsid w:val="00A21E05"/>
    <w:rsid w:val="00A224EC"/>
    <w:rsid w:val="00A274CE"/>
    <w:rsid w:val="00A279FA"/>
    <w:rsid w:val="00A27E77"/>
    <w:rsid w:val="00A30C5E"/>
    <w:rsid w:val="00A30CA0"/>
    <w:rsid w:val="00A31C2B"/>
    <w:rsid w:val="00A31EEE"/>
    <w:rsid w:val="00A32238"/>
    <w:rsid w:val="00A323CF"/>
    <w:rsid w:val="00A3400E"/>
    <w:rsid w:val="00A35FAD"/>
    <w:rsid w:val="00A364C9"/>
    <w:rsid w:val="00A370AC"/>
    <w:rsid w:val="00A401E9"/>
    <w:rsid w:val="00A41F03"/>
    <w:rsid w:val="00A423A4"/>
    <w:rsid w:val="00A42B9B"/>
    <w:rsid w:val="00A4303D"/>
    <w:rsid w:val="00A448D8"/>
    <w:rsid w:val="00A463F3"/>
    <w:rsid w:val="00A46BCA"/>
    <w:rsid w:val="00A476E5"/>
    <w:rsid w:val="00A5083E"/>
    <w:rsid w:val="00A5146F"/>
    <w:rsid w:val="00A5464A"/>
    <w:rsid w:val="00A54934"/>
    <w:rsid w:val="00A54DE6"/>
    <w:rsid w:val="00A557ED"/>
    <w:rsid w:val="00A55FCC"/>
    <w:rsid w:val="00A56306"/>
    <w:rsid w:val="00A563B6"/>
    <w:rsid w:val="00A56EB6"/>
    <w:rsid w:val="00A57376"/>
    <w:rsid w:val="00A606EF"/>
    <w:rsid w:val="00A61200"/>
    <w:rsid w:val="00A62B95"/>
    <w:rsid w:val="00A64211"/>
    <w:rsid w:val="00A65398"/>
    <w:rsid w:val="00A65473"/>
    <w:rsid w:val="00A676B1"/>
    <w:rsid w:val="00A702C6"/>
    <w:rsid w:val="00A7181A"/>
    <w:rsid w:val="00A723B5"/>
    <w:rsid w:val="00A7301F"/>
    <w:rsid w:val="00A730B2"/>
    <w:rsid w:val="00A730DC"/>
    <w:rsid w:val="00A7344F"/>
    <w:rsid w:val="00A73778"/>
    <w:rsid w:val="00A73F9F"/>
    <w:rsid w:val="00A80229"/>
    <w:rsid w:val="00A804E3"/>
    <w:rsid w:val="00A806F5"/>
    <w:rsid w:val="00A80E6B"/>
    <w:rsid w:val="00A8121B"/>
    <w:rsid w:val="00A81EA1"/>
    <w:rsid w:val="00A82B8D"/>
    <w:rsid w:val="00A83EE0"/>
    <w:rsid w:val="00A860FA"/>
    <w:rsid w:val="00A87550"/>
    <w:rsid w:val="00A909BB"/>
    <w:rsid w:val="00A90F98"/>
    <w:rsid w:val="00A916B9"/>
    <w:rsid w:val="00A927CD"/>
    <w:rsid w:val="00A92804"/>
    <w:rsid w:val="00A930EB"/>
    <w:rsid w:val="00A93A4C"/>
    <w:rsid w:val="00A93BD8"/>
    <w:rsid w:val="00A962F7"/>
    <w:rsid w:val="00A969B3"/>
    <w:rsid w:val="00A96B7F"/>
    <w:rsid w:val="00A977E8"/>
    <w:rsid w:val="00A97B5F"/>
    <w:rsid w:val="00AA032B"/>
    <w:rsid w:val="00AA0971"/>
    <w:rsid w:val="00AA0D0B"/>
    <w:rsid w:val="00AA1B17"/>
    <w:rsid w:val="00AA2A2C"/>
    <w:rsid w:val="00AA306E"/>
    <w:rsid w:val="00AA3938"/>
    <w:rsid w:val="00AA4644"/>
    <w:rsid w:val="00AA52D5"/>
    <w:rsid w:val="00AA7E45"/>
    <w:rsid w:val="00AB01F7"/>
    <w:rsid w:val="00AB292E"/>
    <w:rsid w:val="00AB2BD4"/>
    <w:rsid w:val="00AB380D"/>
    <w:rsid w:val="00AB3A6C"/>
    <w:rsid w:val="00AB4E9A"/>
    <w:rsid w:val="00AB7871"/>
    <w:rsid w:val="00AC0855"/>
    <w:rsid w:val="00AC15F0"/>
    <w:rsid w:val="00AC162E"/>
    <w:rsid w:val="00AC1F77"/>
    <w:rsid w:val="00AC21CD"/>
    <w:rsid w:val="00AC3D17"/>
    <w:rsid w:val="00AC5C62"/>
    <w:rsid w:val="00AC64E8"/>
    <w:rsid w:val="00AC6E57"/>
    <w:rsid w:val="00AC7D56"/>
    <w:rsid w:val="00AD03A9"/>
    <w:rsid w:val="00AD2232"/>
    <w:rsid w:val="00AD3805"/>
    <w:rsid w:val="00AD723C"/>
    <w:rsid w:val="00AE0360"/>
    <w:rsid w:val="00AE0E65"/>
    <w:rsid w:val="00AE1475"/>
    <w:rsid w:val="00AE281B"/>
    <w:rsid w:val="00AE2CA0"/>
    <w:rsid w:val="00AE3A4B"/>
    <w:rsid w:val="00AE46BF"/>
    <w:rsid w:val="00AE6187"/>
    <w:rsid w:val="00AE6A50"/>
    <w:rsid w:val="00AF1046"/>
    <w:rsid w:val="00AF223A"/>
    <w:rsid w:val="00AF3A97"/>
    <w:rsid w:val="00AF4DF0"/>
    <w:rsid w:val="00AF6845"/>
    <w:rsid w:val="00AF7309"/>
    <w:rsid w:val="00B00B8A"/>
    <w:rsid w:val="00B021FC"/>
    <w:rsid w:val="00B030DF"/>
    <w:rsid w:val="00B03ACF"/>
    <w:rsid w:val="00B0432C"/>
    <w:rsid w:val="00B06B61"/>
    <w:rsid w:val="00B07AD3"/>
    <w:rsid w:val="00B12E2C"/>
    <w:rsid w:val="00B13661"/>
    <w:rsid w:val="00B1464B"/>
    <w:rsid w:val="00B15C68"/>
    <w:rsid w:val="00B1642C"/>
    <w:rsid w:val="00B16E75"/>
    <w:rsid w:val="00B20D19"/>
    <w:rsid w:val="00B20E91"/>
    <w:rsid w:val="00B219AF"/>
    <w:rsid w:val="00B22159"/>
    <w:rsid w:val="00B227A6"/>
    <w:rsid w:val="00B269B3"/>
    <w:rsid w:val="00B26B25"/>
    <w:rsid w:val="00B27EBE"/>
    <w:rsid w:val="00B27F96"/>
    <w:rsid w:val="00B30379"/>
    <w:rsid w:val="00B31246"/>
    <w:rsid w:val="00B32940"/>
    <w:rsid w:val="00B32A17"/>
    <w:rsid w:val="00B32BA7"/>
    <w:rsid w:val="00B342D1"/>
    <w:rsid w:val="00B3465F"/>
    <w:rsid w:val="00B35C20"/>
    <w:rsid w:val="00B3692C"/>
    <w:rsid w:val="00B36A40"/>
    <w:rsid w:val="00B36B49"/>
    <w:rsid w:val="00B42082"/>
    <w:rsid w:val="00B435FA"/>
    <w:rsid w:val="00B43672"/>
    <w:rsid w:val="00B43DC4"/>
    <w:rsid w:val="00B449BF"/>
    <w:rsid w:val="00B44E0D"/>
    <w:rsid w:val="00B4513E"/>
    <w:rsid w:val="00B45A8E"/>
    <w:rsid w:val="00B47556"/>
    <w:rsid w:val="00B50261"/>
    <w:rsid w:val="00B50372"/>
    <w:rsid w:val="00B52366"/>
    <w:rsid w:val="00B5362C"/>
    <w:rsid w:val="00B53B42"/>
    <w:rsid w:val="00B53F43"/>
    <w:rsid w:val="00B549EE"/>
    <w:rsid w:val="00B54BE8"/>
    <w:rsid w:val="00B55D47"/>
    <w:rsid w:val="00B566D6"/>
    <w:rsid w:val="00B601AE"/>
    <w:rsid w:val="00B6338E"/>
    <w:rsid w:val="00B70699"/>
    <w:rsid w:val="00B7096A"/>
    <w:rsid w:val="00B7099C"/>
    <w:rsid w:val="00B70DCF"/>
    <w:rsid w:val="00B71344"/>
    <w:rsid w:val="00B71596"/>
    <w:rsid w:val="00B71B9D"/>
    <w:rsid w:val="00B72433"/>
    <w:rsid w:val="00B7351D"/>
    <w:rsid w:val="00B73EB3"/>
    <w:rsid w:val="00B75C87"/>
    <w:rsid w:val="00B7686F"/>
    <w:rsid w:val="00B76C22"/>
    <w:rsid w:val="00B77E03"/>
    <w:rsid w:val="00B81101"/>
    <w:rsid w:val="00B824BA"/>
    <w:rsid w:val="00B843E1"/>
    <w:rsid w:val="00B867BF"/>
    <w:rsid w:val="00B87066"/>
    <w:rsid w:val="00B90D67"/>
    <w:rsid w:val="00B939B6"/>
    <w:rsid w:val="00B93B1F"/>
    <w:rsid w:val="00B946D9"/>
    <w:rsid w:val="00B94CD0"/>
    <w:rsid w:val="00B94DA2"/>
    <w:rsid w:val="00B9505A"/>
    <w:rsid w:val="00B95A67"/>
    <w:rsid w:val="00B95FD7"/>
    <w:rsid w:val="00B96CB4"/>
    <w:rsid w:val="00B972A6"/>
    <w:rsid w:val="00B9754E"/>
    <w:rsid w:val="00BA278B"/>
    <w:rsid w:val="00BA48A9"/>
    <w:rsid w:val="00BA67C5"/>
    <w:rsid w:val="00BB0EF5"/>
    <w:rsid w:val="00BB1D24"/>
    <w:rsid w:val="00BB1D39"/>
    <w:rsid w:val="00BB259E"/>
    <w:rsid w:val="00BB26E6"/>
    <w:rsid w:val="00BC0CCA"/>
    <w:rsid w:val="00BC1F0F"/>
    <w:rsid w:val="00BC2103"/>
    <w:rsid w:val="00BC38DD"/>
    <w:rsid w:val="00BC3AE2"/>
    <w:rsid w:val="00BC431B"/>
    <w:rsid w:val="00BC6F87"/>
    <w:rsid w:val="00BD0218"/>
    <w:rsid w:val="00BD0963"/>
    <w:rsid w:val="00BD2579"/>
    <w:rsid w:val="00BD3F15"/>
    <w:rsid w:val="00BD4C84"/>
    <w:rsid w:val="00BD56C3"/>
    <w:rsid w:val="00BD5AAC"/>
    <w:rsid w:val="00BD5BEF"/>
    <w:rsid w:val="00BD5C36"/>
    <w:rsid w:val="00BE0105"/>
    <w:rsid w:val="00BE0648"/>
    <w:rsid w:val="00BE0E54"/>
    <w:rsid w:val="00BE2B0C"/>
    <w:rsid w:val="00BE2EB2"/>
    <w:rsid w:val="00BE792C"/>
    <w:rsid w:val="00BE7B23"/>
    <w:rsid w:val="00BF250E"/>
    <w:rsid w:val="00BF30C4"/>
    <w:rsid w:val="00BF69F1"/>
    <w:rsid w:val="00BF77FF"/>
    <w:rsid w:val="00BF7AA0"/>
    <w:rsid w:val="00BF7B4B"/>
    <w:rsid w:val="00BF7F88"/>
    <w:rsid w:val="00C02340"/>
    <w:rsid w:val="00C02ED0"/>
    <w:rsid w:val="00C050D3"/>
    <w:rsid w:val="00C062AC"/>
    <w:rsid w:val="00C067C5"/>
    <w:rsid w:val="00C06EB0"/>
    <w:rsid w:val="00C073B2"/>
    <w:rsid w:val="00C07994"/>
    <w:rsid w:val="00C07DEC"/>
    <w:rsid w:val="00C10E24"/>
    <w:rsid w:val="00C11B4D"/>
    <w:rsid w:val="00C125A3"/>
    <w:rsid w:val="00C12E67"/>
    <w:rsid w:val="00C13DB3"/>
    <w:rsid w:val="00C145DE"/>
    <w:rsid w:val="00C14910"/>
    <w:rsid w:val="00C14DC5"/>
    <w:rsid w:val="00C15938"/>
    <w:rsid w:val="00C15D7D"/>
    <w:rsid w:val="00C16B84"/>
    <w:rsid w:val="00C17684"/>
    <w:rsid w:val="00C17A45"/>
    <w:rsid w:val="00C21920"/>
    <w:rsid w:val="00C21BB0"/>
    <w:rsid w:val="00C2399A"/>
    <w:rsid w:val="00C24C61"/>
    <w:rsid w:val="00C27376"/>
    <w:rsid w:val="00C277DB"/>
    <w:rsid w:val="00C31E83"/>
    <w:rsid w:val="00C34161"/>
    <w:rsid w:val="00C3475D"/>
    <w:rsid w:val="00C357ED"/>
    <w:rsid w:val="00C377DB"/>
    <w:rsid w:val="00C378ED"/>
    <w:rsid w:val="00C379E1"/>
    <w:rsid w:val="00C4082D"/>
    <w:rsid w:val="00C41730"/>
    <w:rsid w:val="00C41963"/>
    <w:rsid w:val="00C43398"/>
    <w:rsid w:val="00C44B51"/>
    <w:rsid w:val="00C45655"/>
    <w:rsid w:val="00C456A0"/>
    <w:rsid w:val="00C45BF1"/>
    <w:rsid w:val="00C51DE6"/>
    <w:rsid w:val="00C5251B"/>
    <w:rsid w:val="00C542FC"/>
    <w:rsid w:val="00C5436D"/>
    <w:rsid w:val="00C56E6A"/>
    <w:rsid w:val="00C57EA5"/>
    <w:rsid w:val="00C57F89"/>
    <w:rsid w:val="00C60975"/>
    <w:rsid w:val="00C61209"/>
    <w:rsid w:val="00C614D7"/>
    <w:rsid w:val="00C616C8"/>
    <w:rsid w:val="00C62452"/>
    <w:rsid w:val="00C65256"/>
    <w:rsid w:val="00C66A1E"/>
    <w:rsid w:val="00C67C2D"/>
    <w:rsid w:val="00C67EF4"/>
    <w:rsid w:val="00C7071A"/>
    <w:rsid w:val="00C74DE9"/>
    <w:rsid w:val="00C75665"/>
    <w:rsid w:val="00C76652"/>
    <w:rsid w:val="00C77E51"/>
    <w:rsid w:val="00C8304B"/>
    <w:rsid w:val="00C8340D"/>
    <w:rsid w:val="00C8342D"/>
    <w:rsid w:val="00C84BCB"/>
    <w:rsid w:val="00C85153"/>
    <w:rsid w:val="00C874CB"/>
    <w:rsid w:val="00C87AA4"/>
    <w:rsid w:val="00C92B9C"/>
    <w:rsid w:val="00C9461A"/>
    <w:rsid w:val="00C95631"/>
    <w:rsid w:val="00C9594A"/>
    <w:rsid w:val="00C9695B"/>
    <w:rsid w:val="00C96B3C"/>
    <w:rsid w:val="00C96E62"/>
    <w:rsid w:val="00C97385"/>
    <w:rsid w:val="00C9775F"/>
    <w:rsid w:val="00CA1041"/>
    <w:rsid w:val="00CA111D"/>
    <w:rsid w:val="00CA15E3"/>
    <w:rsid w:val="00CA5A38"/>
    <w:rsid w:val="00CA6397"/>
    <w:rsid w:val="00CA6556"/>
    <w:rsid w:val="00CA7135"/>
    <w:rsid w:val="00CB0609"/>
    <w:rsid w:val="00CB14D9"/>
    <w:rsid w:val="00CB17BC"/>
    <w:rsid w:val="00CB41FC"/>
    <w:rsid w:val="00CB4DE7"/>
    <w:rsid w:val="00CB4E9B"/>
    <w:rsid w:val="00CB6D38"/>
    <w:rsid w:val="00CB702F"/>
    <w:rsid w:val="00CB759F"/>
    <w:rsid w:val="00CB7627"/>
    <w:rsid w:val="00CC00AE"/>
    <w:rsid w:val="00CC02B6"/>
    <w:rsid w:val="00CC0E3E"/>
    <w:rsid w:val="00CC1536"/>
    <w:rsid w:val="00CC1E1A"/>
    <w:rsid w:val="00CC26A2"/>
    <w:rsid w:val="00CC2D81"/>
    <w:rsid w:val="00CC3ACE"/>
    <w:rsid w:val="00CC3C2A"/>
    <w:rsid w:val="00CC43EE"/>
    <w:rsid w:val="00CC54B8"/>
    <w:rsid w:val="00CC5E6E"/>
    <w:rsid w:val="00CC616E"/>
    <w:rsid w:val="00CC6C99"/>
    <w:rsid w:val="00CD00E2"/>
    <w:rsid w:val="00CD1981"/>
    <w:rsid w:val="00CD2688"/>
    <w:rsid w:val="00CD4724"/>
    <w:rsid w:val="00CE0838"/>
    <w:rsid w:val="00CE1327"/>
    <w:rsid w:val="00CE2652"/>
    <w:rsid w:val="00CE2A49"/>
    <w:rsid w:val="00CE4323"/>
    <w:rsid w:val="00CE6589"/>
    <w:rsid w:val="00CF0D63"/>
    <w:rsid w:val="00CF169F"/>
    <w:rsid w:val="00CF25B7"/>
    <w:rsid w:val="00CF326B"/>
    <w:rsid w:val="00CF336F"/>
    <w:rsid w:val="00CF66CC"/>
    <w:rsid w:val="00D0095C"/>
    <w:rsid w:val="00D0297E"/>
    <w:rsid w:val="00D0436D"/>
    <w:rsid w:val="00D073DF"/>
    <w:rsid w:val="00D0794C"/>
    <w:rsid w:val="00D10668"/>
    <w:rsid w:val="00D1113D"/>
    <w:rsid w:val="00D1122E"/>
    <w:rsid w:val="00D1151A"/>
    <w:rsid w:val="00D11D13"/>
    <w:rsid w:val="00D1315F"/>
    <w:rsid w:val="00D1341D"/>
    <w:rsid w:val="00D14FBB"/>
    <w:rsid w:val="00D17EEA"/>
    <w:rsid w:val="00D215E3"/>
    <w:rsid w:val="00D21913"/>
    <w:rsid w:val="00D22099"/>
    <w:rsid w:val="00D230C8"/>
    <w:rsid w:val="00D24A2C"/>
    <w:rsid w:val="00D25529"/>
    <w:rsid w:val="00D27D9A"/>
    <w:rsid w:val="00D30356"/>
    <w:rsid w:val="00D31696"/>
    <w:rsid w:val="00D32669"/>
    <w:rsid w:val="00D329F9"/>
    <w:rsid w:val="00D3344F"/>
    <w:rsid w:val="00D33462"/>
    <w:rsid w:val="00D364B9"/>
    <w:rsid w:val="00D3691A"/>
    <w:rsid w:val="00D36B46"/>
    <w:rsid w:val="00D37E0C"/>
    <w:rsid w:val="00D401C4"/>
    <w:rsid w:val="00D41810"/>
    <w:rsid w:val="00D43A9F"/>
    <w:rsid w:val="00D440AD"/>
    <w:rsid w:val="00D47BDF"/>
    <w:rsid w:val="00D50BAC"/>
    <w:rsid w:val="00D5165D"/>
    <w:rsid w:val="00D5175A"/>
    <w:rsid w:val="00D528AF"/>
    <w:rsid w:val="00D52F43"/>
    <w:rsid w:val="00D5430B"/>
    <w:rsid w:val="00D55FBF"/>
    <w:rsid w:val="00D601A8"/>
    <w:rsid w:val="00D60240"/>
    <w:rsid w:val="00D608E1"/>
    <w:rsid w:val="00D61A87"/>
    <w:rsid w:val="00D634FC"/>
    <w:rsid w:val="00D6470D"/>
    <w:rsid w:val="00D65B2B"/>
    <w:rsid w:val="00D70346"/>
    <w:rsid w:val="00D706BA"/>
    <w:rsid w:val="00D70D1D"/>
    <w:rsid w:val="00D711AB"/>
    <w:rsid w:val="00D71D24"/>
    <w:rsid w:val="00D7252A"/>
    <w:rsid w:val="00D72CED"/>
    <w:rsid w:val="00D738DD"/>
    <w:rsid w:val="00D74311"/>
    <w:rsid w:val="00D7499E"/>
    <w:rsid w:val="00D75AAF"/>
    <w:rsid w:val="00D764D1"/>
    <w:rsid w:val="00D777AD"/>
    <w:rsid w:val="00D77826"/>
    <w:rsid w:val="00D8052E"/>
    <w:rsid w:val="00D82164"/>
    <w:rsid w:val="00D83D31"/>
    <w:rsid w:val="00D84A14"/>
    <w:rsid w:val="00D85C62"/>
    <w:rsid w:val="00D860C8"/>
    <w:rsid w:val="00D869A8"/>
    <w:rsid w:val="00D91E94"/>
    <w:rsid w:val="00D92499"/>
    <w:rsid w:val="00D925CE"/>
    <w:rsid w:val="00D96984"/>
    <w:rsid w:val="00DA1C68"/>
    <w:rsid w:val="00DA242D"/>
    <w:rsid w:val="00DA282A"/>
    <w:rsid w:val="00DA2D3D"/>
    <w:rsid w:val="00DA3CB2"/>
    <w:rsid w:val="00DA6E6E"/>
    <w:rsid w:val="00DA727C"/>
    <w:rsid w:val="00DA7645"/>
    <w:rsid w:val="00DA7846"/>
    <w:rsid w:val="00DA7B14"/>
    <w:rsid w:val="00DB08B2"/>
    <w:rsid w:val="00DB2737"/>
    <w:rsid w:val="00DB3B1E"/>
    <w:rsid w:val="00DB3C6A"/>
    <w:rsid w:val="00DB441C"/>
    <w:rsid w:val="00DB4D5E"/>
    <w:rsid w:val="00DB55D4"/>
    <w:rsid w:val="00DB666F"/>
    <w:rsid w:val="00DB6C71"/>
    <w:rsid w:val="00DB6C90"/>
    <w:rsid w:val="00DB6D04"/>
    <w:rsid w:val="00DB7088"/>
    <w:rsid w:val="00DC1678"/>
    <w:rsid w:val="00DC2011"/>
    <w:rsid w:val="00DC31A5"/>
    <w:rsid w:val="00DC3CB3"/>
    <w:rsid w:val="00DC409D"/>
    <w:rsid w:val="00DC68F4"/>
    <w:rsid w:val="00DC6DF9"/>
    <w:rsid w:val="00DC6F91"/>
    <w:rsid w:val="00DD14DE"/>
    <w:rsid w:val="00DD2697"/>
    <w:rsid w:val="00DD36B3"/>
    <w:rsid w:val="00DD704C"/>
    <w:rsid w:val="00DE013A"/>
    <w:rsid w:val="00DE07B1"/>
    <w:rsid w:val="00DE09FA"/>
    <w:rsid w:val="00DE273C"/>
    <w:rsid w:val="00DE2DCA"/>
    <w:rsid w:val="00DE7B2F"/>
    <w:rsid w:val="00DE7DCE"/>
    <w:rsid w:val="00DF1C29"/>
    <w:rsid w:val="00DF26A8"/>
    <w:rsid w:val="00DF3B6A"/>
    <w:rsid w:val="00DF5921"/>
    <w:rsid w:val="00E01BF0"/>
    <w:rsid w:val="00E025BD"/>
    <w:rsid w:val="00E053FB"/>
    <w:rsid w:val="00E06954"/>
    <w:rsid w:val="00E0746E"/>
    <w:rsid w:val="00E074D6"/>
    <w:rsid w:val="00E07E25"/>
    <w:rsid w:val="00E10EDB"/>
    <w:rsid w:val="00E1186D"/>
    <w:rsid w:val="00E11ABA"/>
    <w:rsid w:val="00E130AE"/>
    <w:rsid w:val="00E176A1"/>
    <w:rsid w:val="00E210DF"/>
    <w:rsid w:val="00E2263A"/>
    <w:rsid w:val="00E22BDB"/>
    <w:rsid w:val="00E2471D"/>
    <w:rsid w:val="00E25103"/>
    <w:rsid w:val="00E26F97"/>
    <w:rsid w:val="00E2786A"/>
    <w:rsid w:val="00E308F0"/>
    <w:rsid w:val="00E30EF0"/>
    <w:rsid w:val="00E32C67"/>
    <w:rsid w:val="00E34DF4"/>
    <w:rsid w:val="00E36990"/>
    <w:rsid w:val="00E36FA3"/>
    <w:rsid w:val="00E3739E"/>
    <w:rsid w:val="00E37528"/>
    <w:rsid w:val="00E418A5"/>
    <w:rsid w:val="00E44809"/>
    <w:rsid w:val="00E4593B"/>
    <w:rsid w:val="00E463DF"/>
    <w:rsid w:val="00E4700E"/>
    <w:rsid w:val="00E4708F"/>
    <w:rsid w:val="00E4744E"/>
    <w:rsid w:val="00E479A4"/>
    <w:rsid w:val="00E51053"/>
    <w:rsid w:val="00E513D9"/>
    <w:rsid w:val="00E52E9D"/>
    <w:rsid w:val="00E54013"/>
    <w:rsid w:val="00E5423D"/>
    <w:rsid w:val="00E55AEB"/>
    <w:rsid w:val="00E56510"/>
    <w:rsid w:val="00E6047D"/>
    <w:rsid w:val="00E606BB"/>
    <w:rsid w:val="00E609A1"/>
    <w:rsid w:val="00E60CCC"/>
    <w:rsid w:val="00E60E31"/>
    <w:rsid w:val="00E61314"/>
    <w:rsid w:val="00E61F89"/>
    <w:rsid w:val="00E6219F"/>
    <w:rsid w:val="00E62722"/>
    <w:rsid w:val="00E62C3A"/>
    <w:rsid w:val="00E62E45"/>
    <w:rsid w:val="00E63597"/>
    <w:rsid w:val="00E639BA"/>
    <w:rsid w:val="00E663E4"/>
    <w:rsid w:val="00E671D6"/>
    <w:rsid w:val="00E713DC"/>
    <w:rsid w:val="00E71A92"/>
    <w:rsid w:val="00E71D60"/>
    <w:rsid w:val="00E71EB6"/>
    <w:rsid w:val="00E72027"/>
    <w:rsid w:val="00E73504"/>
    <w:rsid w:val="00E75109"/>
    <w:rsid w:val="00E75EAF"/>
    <w:rsid w:val="00E80871"/>
    <w:rsid w:val="00E8218E"/>
    <w:rsid w:val="00E82E74"/>
    <w:rsid w:val="00E83381"/>
    <w:rsid w:val="00E90DB6"/>
    <w:rsid w:val="00E93F20"/>
    <w:rsid w:val="00E94239"/>
    <w:rsid w:val="00E957C8"/>
    <w:rsid w:val="00E96A04"/>
    <w:rsid w:val="00E96AE0"/>
    <w:rsid w:val="00E9737E"/>
    <w:rsid w:val="00EA11AD"/>
    <w:rsid w:val="00EA1C96"/>
    <w:rsid w:val="00EA2C65"/>
    <w:rsid w:val="00EA333F"/>
    <w:rsid w:val="00EA436D"/>
    <w:rsid w:val="00EA6171"/>
    <w:rsid w:val="00EA640E"/>
    <w:rsid w:val="00EA66F8"/>
    <w:rsid w:val="00EB0C12"/>
    <w:rsid w:val="00EB18C1"/>
    <w:rsid w:val="00EB2D74"/>
    <w:rsid w:val="00EB3016"/>
    <w:rsid w:val="00EB342C"/>
    <w:rsid w:val="00EB37DB"/>
    <w:rsid w:val="00EB3C31"/>
    <w:rsid w:val="00EB4038"/>
    <w:rsid w:val="00EB4E65"/>
    <w:rsid w:val="00EB53EF"/>
    <w:rsid w:val="00EB5BCC"/>
    <w:rsid w:val="00EB61C9"/>
    <w:rsid w:val="00EB65A5"/>
    <w:rsid w:val="00EB78E1"/>
    <w:rsid w:val="00EC2ED4"/>
    <w:rsid w:val="00EC3B05"/>
    <w:rsid w:val="00EC4203"/>
    <w:rsid w:val="00EC4FDA"/>
    <w:rsid w:val="00EC6D5E"/>
    <w:rsid w:val="00EC6F48"/>
    <w:rsid w:val="00EC6FDA"/>
    <w:rsid w:val="00EC7779"/>
    <w:rsid w:val="00EC79BD"/>
    <w:rsid w:val="00ED01B5"/>
    <w:rsid w:val="00ED0DF1"/>
    <w:rsid w:val="00ED13A0"/>
    <w:rsid w:val="00ED383E"/>
    <w:rsid w:val="00ED433C"/>
    <w:rsid w:val="00ED5480"/>
    <w:rsid w:val="00ED5FDC"/>
    <w:rsid w:val="00EE00A6"/>
    <w:rsid w:val="00EE0A5D"/>
    <w:rsid w:val="00EE16C3"/>
    <w:rsid w:val="00EE2EBA"/>
    <w:rsid w:val="00EE3128"/>
    <w:rsid w:val="00EE370B"/>
    <w:rsid w:val="00EE471A"/>
    <w:rsid w:val="00EE5370"/>
    <w:rsid w:val="00EE5F32"/>
    <w:rsid w:val="00EE6090"/>
    <w:rsid w:val="00EF1956"/>
    <w:rsid w:val="00EF248E"/>
    <w:rsid w:val="00EF2BA2"/>
    <w:rsid w:val="00EF3D83"/>
    <w:rsid w:val="00EF3E14"/>
    <w:rsid w:val="00EF6A6C"/>
    <w:rsid w:val="00EF79AD"/>
    <w:rsid w:val="00EF7B57"/>
    <w:rsid w:val="00F00082"/>
    <w:rsid w:val="00F00B1E"/>
    <w:rsid w:val="00F00C1A"/>
    <w:rsid w:val="00F01111"/>
    <w:rsid w:val="00F018EF"/>
    <w:rsid w:val="00F01DA2"/>
    <w:rsid w:val="00F0241D"/>
    <w:rsid w:val="00F02A3E"/>
    <w:rsid w:val="00F03EBD"/>
    <w:rsid w:val="00F05CBD"/>
    <w:rsid w:val="00F05F76"/>
    <w:rsid w:val="00F06391"/>
    <w:rsid w:val="00F0713B"/>
    <w:rsid w:val="00F12A6F"/>
    <w:rsid w:val="00F137CB"/>
    <w:rsid w:val="00F14B62"/>
    <w:rsid w:val="00F14BDD"/>
    <w:rsid w:val="00F15804"/>
    <w:rsid w:val="00F16461"/>
    <w:rsid w:val="00F17790"/>
    <w:rsid w:val="00F20E3B"/>
    <w:rsid w:val="00F21E87"/>
    <w:rsid w:val="00F22744"/>
    <w:rsid w:val="00F22922"/>
    <w:rsid w:val="00F2312C"/>
    <w:rsid w:val="00F23529"/>
    <w:rsid w:val="00F249A0"/>
    <w:rsid w:val="00F24B22"/>
    <w:rsid w:val="00F268DB"/>
    <w:rsid w:val="00F27DA0"/>
    <w:rsid w:val="00F315E2"/>
    <w:rsid w:val="00F3168F"/>
    <w:rsid w:val="00F31F4A"/>
    <w:rsid w:val="00F32860"/>
    <w:rsid w:val="00F3331B"/>
    <w:rsid w:val="00F33969"/>
    <w:rsid w:val="00F34392"/>
    <w:rsid w:val="00F3473C"/>
    <w:rsid w:val="00F35FD0"/>
    <w:rsid w:val="00F361A6"/>
    <w:rsid w:val="00F365EE"/>
    <w:rsid w:val="00F37C00"/>
    <w:rsid w:val="00F41E24"/>
    <w:rsid w:val="00F438E2"/>
    <w:rsid w:val="00F43C40"/>
    <w:rsid w:val="00F44B1A"/>
    <w:rsid w:val="00F45B35"/>
    <w:rsid w:val="00F46F2E"/>
    <w:rsid w:val="00F4700D"/>
    <w:rsid w:val="00F4775F"/>
    <w:rsid w:val="00F47EC3"/>
    <w:rsid w:val="00F5055E"/>
    <w:rsid w:val="00F5195A"/>
    <w:rsid w:val="00F52428"/>
    <w:rsid w:val="00F533C0"/>
    <w:rsid w:val="00F53BCD"/>
    <w:rsid w:val="00F53D2D"/>
    <w:rsid w:val="00F54C1A"/>
    <w:rsid w:val="00F5543E"/>
    <w:rsid w:val="00F55836"/>
    <w:rsid w:val="00F56E24"/>
    <w:rsid w:val="00F602A3"/>
    <w:rsid w:val="00F60C10"/>
    <w:rsid w:val="00F625DA"/>
    <w:rsid w:val="00F633DC"/>
    <w:rsid w:val="00F63738"/>
    <w:rsid w:val="00F63FB6"/>
    <w:rsid w:val="00F65080"/>
    <w:rsid w:val="00F66D7A"/>
    <w:rsid w:val="00F66E08"/>
    <w:rsid w:val="00F7189E"/>
    <w:rsid w:val="00F71E00"/>
    <w:rsid w:val="00F72B55"/>
    <w:rsid w:val="00F7460C"/>
    <w:rsid w:val="00F7512E"/>
    <w:rsid w:val="00F80658"/>
    <w:rsid w:val="00F80DA2"/>
    <w:rsid w:val="00F8191E"/>
    <w:rsid w:val="00F84805"/>
    <w:rsid w:val="00F84D67"/>
    <w:rsid w:val="00F85215"/>
    <w:rsid w:val="00F8572D"/>
    <w:rsid w:val="00F85ABD"/>
    <w:rsid w:val="00F87D9D"/>
    <w:rsid w:val="00F91330"/>
    <w:rsid w:val="00F9188A"/>
    <w:rsid w:val="00F930C9"/>
    <w:rsid w:val="00F933AF"/>
    <w:rsid w:val="00F93C6C"/>
    <w:rsid w:val="00F9469F"/>
    <w:rsid w:val="00F94AD8"/>
    <w:rsid w:val="00F95152"/>
    <w:rsid w:val="00F9704A"/>
    <w:rsid w:val="00FA0119"/>
    <w:rsid w:val="00FA200F"/>
    <w:rsid w:val="00FA24DB"/>
    <w:rsid w:val="00FA250A"/>
    <w:rsid w:val="00FA49A1"/>
    <w:rsid w:val="00FA4ACA"/>
    <w:rsid w:val="00FA635C"/>
    <w:rsid w:val="00FA6CB9"/>
    <w:rsid w:val="00FB066E"/>
    <w:rsid w:val="00FB06DF"/>
    <w:rsid w:val="00FB3CF4"/>
    <w:rsid w:val="00FB4E78"/>
    <w:rsid w:val="00FB539E"/>
    <w:rsid w:val="00FB60B3"/>
    <w:rsid w:val="00FB642D"/>
    <w:rsid w:val="00FB6B9C"/>
    <w:rsid w:val="00FB720F"/>
    <w:rsid w:val="00FB764D"/>
    <w:rsid w:val="00FC0BFD"/>
    <w:rsid w:val="00FC125F"/>
    <w:rsid w:val="00FC348C"/>
    <w:rsid w:val="00FC3847"/>
    <w:rsid w:val="00FC3D57"/>
    <w:rsid w:val="00FC51BC"/>
    <w:rsid w:val="00FC5832"/>
    <w:rsid w:val="00FC5D34"/>
    <w:rsid w:val="00FC6208"/>
    <w:rsid w:val="00FC73FB"/>
    <w:rsid w:val="00FD1AEB"/>
    <w:rsid w:val="00FD369A"/>
    <w:rsid w:val="00FD3C16"/>
    <w:rsid w:val="00FD4437"/>
    <w:rsid w:val="00FD4F86"/>
    <w:rsid w:val="00FE0810"/>
    <w:rsid w:val="00FE0E0D"/>
    <w:rsid w:val="00FE1B33"/>
    <w:rsid w:val="00FE3499"/>
    <w:rsid w:val="00FE3B73"/>
    <w:rsid w:val="00FE5E86"/>
    <w:rsid w:val="00FE7246"/>
    <w:rsid w:val="00FE7D5A"/>
    <w:rsid w:val="00FF24B3"/>
    <w:rsid w:val="00FF4C65"/>
    <w:rsid w:val="00FF5211"/>
    <w:rsid w:val="00FF5EFD"/>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103BE"/>
  <w15:chartTrackingRefBased/>
  <w15:docId w15:val="{3A89EAED-98CA-4D95-BCD0-49DDBA6C9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Roboto Light"/>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11"/>
    <w:rPr>
      <w:rFonts w:asciiTheme="minorHAnsi" w:hAnsiTheme="minorHAnsi"/>
    </w:rPr>
  </w:style>
  <w:style w:type="paragraph" w:styleId="Heading1">
    <w:name w:val="heading 1"/>
    <w:basedOn w:val="Normal"/>
    <w:next w:val="Normal"/>
    <w:link w:val="Heading1Char"/>
    <w:uiPriority w:val="9"/>
    <w:qFormat/>
    <w:rsid w:val="00B30379"/>
    <w:pPr>
      <w:keepNext/>
      <w:keepLines/>
      <w:outlineLvl w:val="0"/>
    </w:pPr>
    <w:rPr>
      <w:rFonts w:eastAsiaTheme="majorEastAsia" w:cstheme="majorBidi"/>
      <w:b/>
      <w:color w:val="002775" w:themeColor="accent1"/>
      <w:sz w:val="28"/>
      <w:szCs w:val="32"/>
    </w:rPr>
  </w:style>
  <w:style w:type="paragraph" w:styleId="Heading2">
    <w:name w:val="heading 2"/>
    <w:basedOn w:val="Normal"/>
    <w:next w:val="Normal"/>
    <w:link w:val="Heading2Char"/>
    <w:uiPriority w:val="9"/>
    <w:unhideWhenUsed/>
    <w:qFormat/>
    <w:rsid w:val="007F0D7A"/>
    <w:pPr>
      <w:keepNext/>
      <w:keepLines/>
      <w:outlineLvl w:val="1"/>
    </w:pPr>
    <w:rPr>
      <w:rFonts w:eastAsiaTheme="majorEastAsia" w:cstheme="majorBidi"/>
      <w:b/>
      <w:color w:val="0071CE" w:themeColor="accent3"/>
      <w:sz w:val="24"/>
      <w:szCs w:val="26"/>
    </w:rPr>
  </w:style>
  <w:style w:type="paragraph" w:styleId="Heading3">
    <w:name w:val="heading 3"/>
    <w:basedOn w:val="Normal"/>
    <w:next w:val="Normal"/>
    <w:link w:val="Heading3Char"/>
    <w:uiPriority w:val="9"/>
    <w:unhideWhenUsed/>
    <w:qFormat/>
    <w:rsid w:val="00B70699"/>
    <w:pPr>
      <w:keepNext/>
      <w:keepLines/>
      <w:outlineLvl w:val="2"/>
    </w:pPr>
    <w:rPr>
      <w:rFonts w:eastAsiaTheme="majorEastAsia" w:cstheme="majorBidi"/>
      <w:b/>
      <w:color w:val="5B9BD5" w:themeColor="accent4"/>
      <w:sz w:val="24"/>
      <w:szCs w:val="24"/>
    </w:rPr>
  </w:style>
  <w:style w:type="paragraph" w:styleId="Heading4">
    <w:name w:val="heading 4"/>
    <w:basedOn w:val="Normal"/>
    <w:next w:val="Normal"/>
    <w:link w:val="Heading4Char"/>
    <w:uiPriority w:val="9"/>
    <w:unhideWhenUsed/>
    <w:qFormat/>
    <w:rsid w:val="00780A6D"/>
    <w:pPr>
      <w:keepNext/>
      <w:keepLines/>
      <w:spacing w:before="40"/>
      <w:outlineLvl w:val="3"/>
    </w:pPr>
    <w:rPr>
      <w:rFonts w:eastAsiaTheme="majorEastAsia" w:cstheme="majorBidi"/>
      <w:i/>
      <w:iCs/>
      <w:color w:val="44546A" w:themeColor="text2"/>
    </w:rPr>
  </w:style>
  <w:style w:type="paragraph" w:styleId="Heading5">
    <w:name w:val="heading 5"/>
    <w:basedOn w:val="Normal"/>
    <w:next w:val="Normal"/>
    <w:link w:val="Heading5Char"/>
    <w:uiPriority w:val="9"/>
    <w:unhideWhenUsed/>
    <w:rsid w:val="006F4F29"/>
    <w:pPr>
      <w:keepNext/>
      <w:keepLines/>
      <w:spacing w:before="40"/>
      <w:outlineLvl w:val="4"/>
    </w:pPr>
    <w:rPr>
      <w:rFonts w:ascii="Calibri" w:eastAsiaTheme="majorEastAsia" w:hAnsi="Calibri" w:cstheme="majorBidi"/>
      <w:color w:val="001D57" w:themeColor="accent1" w:themeShade="BF"/>
    </w:rPr>
  </w:style>
  <w:style w:type="paragraph" w:styleId="Heading6">
    <w:name w:val="heading 6"/>
    <w:basedOn w:val="Normal"/>
    <w:next w:val="Normal"/>
    <w:link w:val="Heading6Char"/>
    <w:uiPriority w:val="9"/>
    <w:unhideWhenUsed/>
    <w:rsid w:val="003D2EF4"/>
    <w:pPr>
      <w:keepNext/>
      <w:keepLines/>
      <w:spacing w:before="40"/>
      <w:jc w:val="both"/>
      <w:outlineLvl w:val="5"/>
    </w:pPr>
    <w:rPr>
      <w:rFonts w:asciiTheme="majorHAnsi" w:eastAsiaTheme="majorEastAsia" w:hAnsiTheme="majorHAnsi" w:cstheme="majorBidi"/>
      <w:color w:val="00133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379"/>
    <w:rPr>
      <w:rFonts w:asciiTheme="minorHAnsi" w:eastAsiaTheme="majorEastAsia" w:hAnsiTheme="minorHAnsi" w:cstheme="majorBidi"/>
      <w:b/>
      <w:color w:val="002775" w:themeColor="accent1"/>
      <w:sz w:val="28"/>
      <w:szCs w:val="32"/>
    </w:rPr>
  </w:style>
  <w:style w:type="character" w:customStyle="1" w:styleId="Heading2Char">
    <w:name w:val="Heading 2 Char"/>
    <w:basedOn w:val="DefaultParagraphFont"/>
    <w:link w:val="Heading2"/>
    <w:uiPriority w:val="9"/>
    <w:rsid w:val="007F0D7A"/>
    <w:rPr>
      <w:rFonts w:asciiTheme="minorHAnsi" w:eastAsiaTheme="majorEastAsia" w:hAnsiTheme="minorHAnsi" w:cstheme="majorBidi"/>
      <w:b/>
      <w:color w:val="0071CE" w:themeColor="accent3"/>
      <w:sz w:val="24"/>
      <w:szCs w:val="26"/>
    </w:rPr>
  </w:style>
  <w:style w:type="paragraph" w:styleId="Title">
    <w:name w:val="Title"/>
    <w:basedOn w:val="Heading1"/>
    <w:next w:val="Heading1"/>
    <w:link w:val="TitleChar"/>
    <w:autoRedefine/>
    <w:uiPriority w:val="10"/>
    <w:qFormat/>
    <w:rsid w:val="00F53BCD"/>
    <w:pPr>
      <w:spacing w:line="240" w:lineRule="auto"/>
      <w:contextualSpacing/>
    </w:pPr>
    <w:rPr>
      <w:bCs/>
      <w:spacing w:val="-10"/>
      <w:kern w:val="28"/>
      <w:szCs w:val="56"/>
    </w:rPr>
  </w:style>
  <w:style w:type="character" w:customStyle="1" w:styleId="TitleChar">
    <w:name w:val="Title Char"/>
    <w:basedOn w:val="DefaultParagraphFont"/>
    <w:link w:val="Title"/>
    <w:uiPriority w:val="10"/>
    <w:rsid w:val="00F53BCD"/>
    <w:rPr>
      <w:rFonts w:asciiTheme="minorHAnsi" w:eastAsiaTheme="majorEastAsia" w:hAnsiTheme="minorHAnsi" w:cstheme="majorBidi"/>
      <w:b/>
      <w:bCs/>
      <w:color w:val="002775" w:themeColor="accent1"/>
      <w:spacing w:val="-10"/>
      <w:kern w:val="28"/>
      <w:sz w:val="28"/>
      <w:szCs w:val="56"/>
    </w:rPr>
  </w:style>
  <w:style w:type="paragraph" w:styleId="Subtitle">
    <w:name w:val="Subtitle"/>
    <w:basedOn w:val="Normal"/>
    <w:next w:val="Normal"/>
    <w:link w:val="SubtitleChar"/>
    <w:uiPriority w:val="11"/>
    <w:qFormat/>
    <w:rsid w:val="00B76C22"/>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B76C22"/>
    <w:rPr>
      <w:rFonts w:ascii="Futura Bk BT" w:eastAsiaTheme="minorEastAsia" w:hAnsi="Futura Bk BT" w:cstheme="minorBidi"/>
      <w:color w:val="5A5A5A" w:themeColor="text1" w:themeTint="A5"/>
      <w:spacing w:val="15"/>
    </w:rPr>
  </w:style>
  <w:style w:type="character" w:styleId="SubtleEmphasis">
    <w:name w:val="Subtle Emphasis"/>
    <w:basedOn w:val="DefaultParagraphFont"/>
    <w:uiPriority w:val="19"/>
    <w:qFormat/>
    <w:rsid w:val="009B0BD8"/>
    <w:rPr>
      <w:rFonts w:asciiTheme="minorHAnsi" w:hAnsiTheme="minorHAnsi"/>
      <w:i/>
      <w:iCs/>
      <w:color w:val="404040" w:themeColor="text1" w:themeTint="BF"/>
    </w:rPr>
  </w:style>
  <w:style w:type="character" w:styleId="Emphasis">
    <w:name w:val="Emphasis"/>
    <w:aliases w:val="Figures &amp; Table Titles"/>
    <w:basedOn w:val="DefaultParagraphFont"/>
    <w:uiPriority w:val="20"/>
    <w:qFormat/>
    <w:rsid w:val="009B0BD8"/>
    <w:rPr>
      <w:rFonts w:asciiTheme="minorHAnsi" w:hAnsiTheme="minorHAnsi"/>
      <w:i/>
      <w:iCs/>
    </w:rPr>
  </w:style>
  <w:style w:type="character" w:styleId="SubtleReference">
    <w:name w:val="Subtle Reference"/>
    <w:basedOn w:val="DefaultParagraphFont"/>
    <w:uiPriority w:val="31"/>
    <w:qFormat/>
    <w:rsid w:val="009B0BD8"/>
    <w:rPr>
      <w:rFonts w:asciiTheme="minorHAnsi" w:hAnsiTheme="minorHAnsi"/>
      <w:smallCaps/>
      <w:color w:val="5A5A5A" w:themeColor="text1" w:themeTint="A5"/>
    </w:rPr>
  </w:style>
  <w:style w:type="character" w:styleId="IntenseEmphasis">
    <w:name w:val="Intense Emphasis"/>
    <w:basedOn w:val="DefaultParagraphFont"/>
    <w:uiPriority w:val="21"/>
    <w:qFormat/>
    <w:rsid w:val="009B0BD8"/>
    <w:rPr>
      <w:rFonts w:asciiTheme="minorHAnsi" w:hAnsiTheme="minorHAnsi"/>
      <w:i/>
      <w:iCs/>
      <w:color w:val="44546A" w:themeColor="text2"/>
    </w:rPr>
  </w:style>
  <w:style w:type="character" w:styleId="Strong">
    <w:name w:val="Strong"/>
    <w:basedOn w:val="DefaultParagraphFont"/>
    <w:uiPriority w:val="22"/>
    <w:qFormat/>
    <w:rsid w:val="00F53BCD"/>
    <w:rPr>
      <w:rFonts w:asciiTheme="minorHAnsi" w:hAnsiTheme="minorHAnsi"/>
      <w:b/>
      <w:bCs/>
    </w:rPr>
  </w:style>
  <w:style w:type="paragraph" w:styleId="Quote">
    <w:name w:val="Quote"/>
    <w:basedOn w:val="Normal"/>
    <w:next w:val="Normal"/>
    <w:link w:val="QuoteChar"/>
    <w:uiPriority w:val="29"/>
    <w:rsid w:val="00B76C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6C22"/>
    <w:rPr>
      <w:rFonts w:ascii="Futura Bk BT" w:hAnsi="Futura Bk BT"/>
      <w:i/>
      <w:iCs/>
      <w:color w:val="404040" w:themeColor="text1" w:themeTint="BF"/>
    </w:rPr>
  </w:style>
  <w:style w:type="character" w:styleId="IntenseReference">
    <w:name w:val="Intense Reference"/>
    <w:basedOn w:val="DefaultParagraphFont"/>
    <w:uiPriority w:val="32"/>
    <w:qFormat/>
    <w:rsid w:val="009B0BD8"/>
    <w:rPr>
      <w:rFonts w:asciiTheme="majorHAnsi" w:hAnsiTheme="majorHAnsi"/>
      <w:b w:val="0"/>
      <w:bCs/>
      <w:smallCaps/>
      <w:color w:val="44546A" w:themeColor="text2"/>
      <w:spacing w:val="5"/>
    </w:rPr>
  </w:style>
  <w:style w:type="paragraph" w:styleId="ListParagraph">
    <w:name w:val="List Paragraph"/>
    <w:basedOn w:val="Normal"/>
    <w:uiPriority w:val="34"/>
    <w:qFormat/>
    <w:rsid w:val="0091676E"/>
    <w:pPr>
      <w:ind w:left="720"/>
      <w:contextualSpacing/>
    </w:pPr>
  </w:style>
  <w:style w:type="paragraph" w:styleId="IntenseQuote">
    <w:name w:val="Intense Quote"/>
    <w:basedOn w:val="Normal"/>
    <w:next w:val="Normal"/>
    <w:link w:val="IntenseQuoteChar"/>
    <w:uiPriority w:val="30"/>
    <w:qFormat/>
    <w:rsid w:val="00650C74"/>
    <w:pPr>
      <w:pBdr>
        <w:top w:val="single" w:sz="4" w:space="10" w:color="002775" w:themeColor="accent1"/>
        <w:bottom w:val="single" w:sz="4" w:space="10" w:color="002775" w:themeColor="accent1"/>
      </w:pBdr>
      <w:spacing w:before="360" w:after="360"/>
      <w:ind w:left="864" w:right="864"/>
      <w:jc w:val="center"/>
    </w:pPr>
    <w:rPr>
      <w:i/>
      <w:iCs/>
      <w:color w:val="44546A" w:themeColor="text2"/>
    </w:rPr>
  </w:style>
  <w:style w:type="character" w:customStyle="1" w:styleId="IntenseQuoteChar">
    <w:name w:val="Intense Quote Char"/>
    <w:basedOn w:val="DefaultParagraphFont"/>
    <w:link w:val="IntenseQuote"/>
    <w:uiPriority w:val="30"/>
    <w:rsid w:val="00650C74"/>
    <w:rPr>
      <w:rFonts w:ascii="Futura Bk BT" w:hAnsi="Futura Bk BT"/>
      <w:i/>
      <w:iCs/>
      <w:color w:val="44546A" w:themeColor="text2"/>
    </w:rPr>
  </w:style>
  <w:style w:type="table" w:styleId="TableGrid">
    <w:name w:val="Table Grid"/>
    <w:basedOn w:val="TableNormal"/>
    <w:rsid w:val="00650C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rsid w:val="00650C74"/>
  </w:style>
  <w:style w:type="character" w:customStyle="1" w:styleId="Heading3Char">
    <w:name w:val="Heading 3 Char"/>
    <w:basedOn w:val="DefaultParagraphFont"/>
    <w:link w:val="Heading3"/>
    <w:uiPriority w:val="9"/>
    <w:rsid w:val="00B70699"/>
    <w:rPr>
      <w:rFonts w:asciiTheme="minorHAnsi" w:eastAsiaTheme="majorEastAsia" w:hAnsiTheme="minorHAnsi" w:cstheme="majorBidi"/>
      <w:b/>
      <w:color w:val="5B9BD5" w:themeColor="accent4"/>
      <w:sz w:val="24"/>
      <w:szCs w:val="24"/>
    </w:rPr>
  </w:style>
  <w:style w:type="character" w:customStyle="1" w:styleId="Heading4Char">
    <w:name w:val="Heading 4 Char"/>
    <w:basedOn w:val="DefaultParagraphFont"/>
    <w:link w:val="Heading4"/>
    <w:uiPriority w:val="9"/>
    <w:rsid w:val="00780A6D"/>
    <w:rPr>
      <w:rFonts w:asciiTheme="minorHAnsi" w:eastAsiaTheme="majorEastAsia" w:hAnsiTheme="minorHAnsi" w:cstheme="majorBidi"/>
      <w:i/>
      <w:iCs/>
      <w:color w:val="44546A" w:themeColor="text2"/>
    </w:rPr>
  </w:style>
  <w:style w:type="paragraph" w:customStyle="1" w:styleId="Footnote">
    <w:name w:val="Footnote"/>
    <w:basedOn w:val="Normal"/>
    <w:qFormat/>
    <w:rsid w:val="001374CE"/>
    <w:rPr>
      <w:sz w:val="18"/>
    </w:rPr>
  </w:style>
  <w:style w:type="paragraph" w:styleId="Header">
    <w:name w:val="header"/>
    <w:basedOn w:val="Normal"/>
    <w:link w:val="HeaderChar"/>
    <w:uiPriority w:val="99"/>
    <w:unhideWhenUsed/>
    <w:rsid w:val="003E28E7"/>
    <w:pPr>
      <w:tabs>
        <w:tab w:val="center" w:pos="4680"/>
        <w:tab w:val="right" w:pos="9360"/>
      </w:tabs>
      <w:spacing w:line="240" w:lineRule="auto"/>
    </w:pPr>
  </w:style>
  <w:style w:type="character" w:customStyle="1" w:styleId="HeaderChar">
    <w:name w:val="Header Char"/>
    <w:basedOn w:val="DefaultParagraphFont"/>
    <w:link w:val="Header"/>
    <w:uiPriority w:val="99"/>
    <w:rsid w:val="003E28E7"/>
    <w:rPr>
      <w:rFonts w:asciiTheme="minorHAnsi" w:hAnsiTheme="minorHAnsi"/>
      <w:color w:val="000000" w:themeColor="text1"/>
    </w:rPr>
  </w:style>
  <w:style w:type="paragraph" w:styleId="Footer">
    <w:name w:val="footer"/>
    <w:basedOn w:val="Normal"/>
    <w:link w:val="FooterChar"/>
    <w:uiPriority w:val="99"/>
    <w:unhideWhenUsed/>
    <w:rsid w:val="003E28E7"/>
    <w:pPr>
      <w:tabs>
        <w:tab w:val="center" w:pos="4680"/>
        <w:tab w:val="right" w:pos="9360"/>
      </w:tabs>
      <w:spacing w:line="240" w:lineRule="auto"/>
    </w:pPr>
  </w:style>
  <w:style w:type="paragraph" w:styleId="TOC1">
    <w:name w:val="toc 1"/>
    <w:basedOn w:val="Normal"/>
    <w:next w:val="Normal"/>
    <w:autoRedefine/>
    <w:uiPriority w:val="39"/>
    <w:unhideWhenUsed/>
    <w:rsid w:val="003E28E7"/>
    <w:pPr>
      <w:tabs>
        <w:tab w:val="right" w:leader="dot" w:pos="9350"/>
      </w:tabs>
      <w:spacing w:line="240" w:lineRule="auto"/>
    </w:pPr>
  </w:style>
  <w:style w:type="table" w:customStyle="1" w:styleId="TGCLeftAlignment">
    <w:name w:val="TGC Left Alignment"/>
    <w:basedOn w:val="TableNormal"/>
    <w:uiPriority w:val="99"/>
    <w:rsid w:val="008263E2"/>
    <w:pPr>
      <w:spacing w:line="240" w:lineRule="auto"/>
    </w:pPr>
    <w:rPr>
      <w:rFonts w:asciiTheme="minorHAnsi" w:hAnsiTheme="minorHAnsi"/>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rPr>
        <w:rFonts w:asciiTheme="majorHAnsi" w:hAnsiTheme="maj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seCell">
      <w:rPr>
        <w:rFonts w:asciiTheme="majorHAnsi" w:hAnsiTheme="majorHAnsi"/>
        <w:b w:val="0"/>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val="0"/>
        <w:color w:val="auto"/>
        <w:sz w:val="20"/>
      </w:rPr>
      <w:tblPr/>
      <w:tcPr>
        <w:tcBorders>
          <w:top w:val="single" w:sz="4" w:space="0" w:color="8496B0" w:themeColor="text2" w:themeTint="99"/>
        </w:tcBorders>
        <w:shd w:val="clear" w:color="auto" w:fill="FFFFFF" w:themeFill="background1"/>
      </w:tcPr>
    </w:tblStylePr>
  </w:style>
  <w:style w:type="table" w:styleId="TableGrid2">
    <w:name w:val="Table Grid 2"/>
    <w:basedOn w:val="TableNormal"/>
    <w:uiPriority w:val="99"/>
    <w:semiHidden/>
    <w:unhideWhenUsed/>
    <w:rsid w:val="00446D4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1Light-Accent5">
    <w:name w:val="Grid Table 1 Light Accent 5"/>
    <w:basedOn w:val="TableNormal"/>
    <w:uiPriority w:val="46"/>
    <w:rsid w:val="00CB17BC"/>
    <w:pPr>
      <w:spacing w:line="240" w:lineRule="auto"/>
    </w:pPr>
    <w:tblPr>
      <w:tblStyleRowBandSize w:val="1"/>
      <w:tblStyleColBandSize w:val="1"/>
      <w:tblBorders>
        <w:top w:val="single" w:sz="4" w:space="0" w:color="DBDBDB" w:themeColor="accent5" w:themeTint="66"/>
        <w:left w:val="single" w:sz="4" w:space="0" w:color="DBDBDB" w:themeColor="accent5" w:themeTint="66"/>
        <w:bottom w:val="single" w:sz="4" w:space="0" w:color="DBDBDB" w:themeColor="accent5" w:themeTint="66"/>
        <w:right w:val="single" w:sz="4" w:space="0" w:color="DBDBDB" w:themeColor="accent5" w:themeTint="66"/>
        <w:insideH w:val="single" w:sz="4" w:space="0" w:color="DBDBDB" w:themeColor="accent5" w:themeTint="66"/>
        <w:insideV w:val="single" w:sz="4" w:space="0" w:color="DBDBDB" w:themeColor="accent5" w:themeTint="66"/>
      </w:tblBorders>
    </w:tblPr>
    <w:tblStylePr w:type="firstRow">
      <w:rPr>
        <w:b/>
        <w:bCs/>
      </w:rPr>
      <w:tblPr/>
      <w:tcPr>
        <w:tcBorders>
          <w:bottom w:val="single" w:sz="12" w:space="0" w:color="C9C9C9" w:themeColor="accent5" w:themeTint="99"/>
        </w:tcBorders>
      </w:tcPr>
    </w:tblStylePr>
    <w:tblStylePr w:type="lastRow">
      <w:rPr>
        <w:b/>
        <w:bCs/>
      </w:rPr>
      <w:tblPr/>
      <w:tcPr>
        <w:tcBorders>
          <w:top w:val="double" w:sz="2" w:space="0" w:color="C9C9C9"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CB17BC"/>
    <w:pPr>
      <w:spacing w:line="240" w:lineRule="auto"/>
    </w:pPr>
    <w:tblPr>
      <w:tblStyleRowBandSize w:val="1"/>
      <w:tblStyleColBandSize w:val="1"/>
      <w:tblBorders>
        <w:top w:val="single" w:sz="2" w:space="0" w:color="C9C9C9" w:themeColor="accent5" w:themeTint="99"/>
        <w:bottom w:val="single" w:sz="2" w:space="0" w:color="C9C9C9" w:themeColor="accent5" w:themeTint="99"/>
        <w:insideH w:val="single" w:sz="2" w:space="0" w:color="C9C9C9" w:themeColor="accent5" w:themeTint="99"/>
        <w:insideV w:val="single" w:sz="2" w:space="0" w:color="C9C9C9" w:themeColor="accent5" w:themeTint="99"/>
      </w:tblBorders>
    </w:tblPr>
    <w:tblStylePr w:type="firstRow">
      <w:rPr>
        <w:b/>
        <w:bCs/>
      </w:rPr>
      <w:tblPr/>
      <w:tcPr>
        <w:tcBorders>
          <w:top w:val="nil"/>
          <w:bottom w:val="single" w:sz="12" w:space="0" w:color="C9C9C9" w:themeColor="accent5" w:themeTint="99"/>
          <w:insideH w:val="nil"/>
          <w:insideV w:val="nil"/>
        </w:tcBorders>
        <w:shd w:val="clear" w:color="auto" w:fill="FFFFFF" w:themeFill="background1"/>
      </w:tcPr>
    </w:tblStylePr>
    <w:tblStylePr w:type="lastRow">
      <w:rPr>
        <w:b/>
        <w:bCs/>
      </w:rPr>
      <w:tblPr/>
      <w:tcPr>
        <w:tcBorders>
          <w:top w:val="double" w:sz="2" w:space="0" w:color="C9C9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5" w:themeFillTint="33"/>
      </w:tcPr>
    </w:tblStylePr>
    <w:tblStylePr w:type="band1Horz">
      <w:tblPr/>
      <w:tcPr>
        <w:shd w:val="clear" w:color="auto" w:fill="EDEDED" w:themeFill="accent5" w:themeFillTint="33"/>
      </w:tcPr>
    </w:tblStylePr>
  </w:style>
  <w:style w:type="paragraph" w:styleId="TOCHeading">
    <w:name w:val="TOC Heading"/>
    <w:basedOn w:val="Heading1"/>
    <w:next w:val="Normal"/>
    <w:uiPriority w:val="39"/>
    <w:unhideWhenUsed/>
    <w:rsid w:val="006C3EF7"/>
    <w:pPr>
      <w:spacing w:line="259" w:lineRule="auto"/>
      <w:outlineLvl w:val="9"/>
    </w:pPr>
    <w:rPr>
      <w:b w:val="0"/>
      <w:color w:val="001D57" w:themeColor="accent1" w:themeShade="BF"/>
      <w:sz w:val="36"/>
    </w:rPr>
  </w:style>
  <w:style w:type="paragraph" w:styleId="TableofFigures">
    <w:name w:val="table of figures"/>
    <w:basedOn w:val="Normal"/>
    <w:next w:val="Normal"/>
    <w:uiPriority w:val="99"/>
    <w:unhideWhenUsed/>
    <w:rsid w:val="0083521F"/>
  </w:style>
  <w:style w:type="character" w:styleId="Hyperlink">
    <w:name w:val="Hyperlink"/>
    <w:basedOn w:val="DefaultParagraphFont"/>
    <w:uiPriority w:val="99"/>
    <w:unhideWhenUsed/>
    <w:rsid w:val="00153AC6"/>
    <w:rPr>
      <w:color w:val="0563C1" w:themeColor="hyperlink"/>
      <w:u w:val="single"/>
    </w:rPr>
  </w:style>
  <w:style w:type="character" w:customStyle="1" w:styleId="Heading5Char">
    <w:name w:val="Heading 5 Char"/>
    <w:basedOn w:val="DefaultParagraphFont"/>
    <w:link w:val="Heading5"/>
    <w:uiPriority w:val="9"/>
    <w:rsid w:val="006F4F29"/>
    <w:rPr>
      <w:rFonts w:ascii="Calibri" w:eastAsiaTheme="majorEastAsia" w:hAnsi="Calibri" w:cstheme="majorBidi"/>
      <w:color w:val="001D57" w:themeColor="accent1" w:themeShade="BF"/>
      <w:sz w:val="24"/>
    </w:rPr>
  </w:style>
  <w:style w:type="paragraph" w:customStyle="1" w:styleId="SectionIntro">
    <w:name w:val="Section Intro"/>
    <w:basedOn w:val="Normal"/>
    <w:link w:val="SectionIntroChar"/>
    <w:rsid w:val="001374CE"/>
  </w:style>
  <w:style w:type="character" w:customStyle="1" w:styleId="FooterChar">
    <w:name w:val="Footer Char"/>
    <w:basedOn w:val="DefaultParagraphFont"/>
    <w:link w:val="Footer"/>
    <w:uiPriority w:val="99"/>
    <w:rsid w:val="003E28E7"/>
    <w:rPr>
      <w:rFonts w:asciiTheme="minorHAnsi" w:hAnsiTheme="minorHAnsi"/>
      <w:color w:val="000000" w:themeColor="text1"/>
    </w:rPr>
  </w:style>
  <w:style w:type="character" w:customStyle="1" w:styleId="SectionIntroChar">
    <w:name w:val="Section Intro Char"/>
    <w:basedOn w:val="DefaultParagraphFont"/>
    <w:link w:val="SectionIntro"/>
    <w:rsid w:val="001374CE"/>
    <w:rPr>
      <w:rFonts w:asciiTheme="minorHAnsi" w:hAnsiTheme="minorHAnsi"/>
      <w:color w:val="000000" w:themeColor="text1"/>
      <w:sz w:val="24"/>
    </w:rPr>
  </w:style>
  <w:style w:type="table" w:styleId="PlainTable1">
    <w:name w:val="Plain Table 1"/>
    <w:basedOn w:val="TableNormal"/>
    <w:uiPriority w:val="41"/>
    <w:rsid w:val="00AB787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aliases w:val="TGC Equation"/>
    <w:basedOn w:val="TGCLeftAlignment"/>
    <w:uiPriority w:val="43"/>
    <w:rsid w:val="00621900"/>
    <w:tblPr/>
    <w:tcPr>
      <w:shd w:val="clear" w:color="auto" w:fill="auto"/>
    </w:tcPr>
    <w:tblStylePr w:type="firstRow">
      <w:rPr>
        <w:rFonts w:asciiTheme="majorHAnsi" w:hAnsiTheme="majorHAnsi"/>
        <w:b/>
        <w:color w:val="0071CE" w:themeColor="accent3"/>
        <w:sz w:val="22"/>
      </w:rPr>
      <w:tblPr/>
      <w:tcPr>
        <w:shd w:val="clear" w:color="auto" w:fill="FFFFFF" w:themeFill="background1"/>
      </w:tcPr>
    </w:tblStylePr>
    <w:tblStylePr w:type="lastRow">
      <w:rPr>
        <w:rFonts w:asciiTheme="minorHAnsi" w:hAnsiTheme="minorHAnsi"/>
        <w:b/>
        <w:bCs/>
        <w:caps/>
        <w:sz w:val="22"/>
      </w:rPr>
      <w:tblPr/>
      <w:tcPr>
        <w:tcBorders>
          <w:top w:val="nil"/>
        </w:tcBorders>
      </w:tcPr>
    </w:tblStylePr>
    <w:tblStylePr w:type="firstCol">
      <w:rPr>
        <w:rFonts w:ascii="Aptos Display" w:hAnsi="Aptos Display"/>
        <w:b w:val="0"/>
        <w:bCs/>
        <w:i w:val="0"/>
        <w:caps w:val="0"/>
        <w:smallCaps w:val="0"/>
        <w:strike w:val="0"/>
        <w:dstrike w:val="0"/>
        <w:vanish w:val="0"/>
        <w:color w:val="auto"/>
        <w:vertAlign w:val="baseline"/>
      </w:rPr>
      <w:tblPr/>
      <w:tcPr>
        <w:tcBorders>
          <w:right w:val="single" w:sz="4" w:space="0" w:color="7F7F7F" w:themeColor="text1" w:themeTint="80"/>
        </w:tcBorders>
      </w:tcPr>
    </w:tblStylePr>
    <w:tblStylePr w:type="lastCol">
      <w:rPr>
        <w:b/>
        <w:bCs/>
        <w:caps/>
      </w:rPr>
      <w:tblPr/>
      <w:tcPr>
        <w:tcBorders>
          <w:left w:val="nil"/>
        </w:tcBorders>
      </w:tc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neCell">
      <w:tblPr/>
      <w:tcPr>
        <w:tcBorders>
          <w:left w:val="nil"/>
        </w:tcBorders>
      </w:tcPr>
    </w:tblStylePr>
    <w:tblStylePr w:type="nwCell">
      <w:tblPr/>
      <w:tcPr>
        <w:tcBorders>
          <w:right w:val="nil"/>
        </w:tcBorders>
      </w:tc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table" w:customStyle="1" w:styleId="TGCRightAlignment">
    <w:name w:val="TGC Right Alignment"/>
    <w:basedOn w:val="TGCLeftAlignment"/>
    <w:uiPriority w:val="99"/>
    <w:rsid w:val="008263E2"/>
    <w:pPr>
      <w:jc w:val="right"/>
    </w:pPr>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firstCol">
      <w:pPr>
        <w:wordWrap/>
        <w:jc w:val="left"/>
      </w:p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character" w:customStyle="1" w:styleId="NoSpacingChar">
    <w:name w:val="No Spacing Char"/>
    <w:basedOn w:val="DefaultParagraphFont"/>
    <w:link w:val="NoSpacing"/>
    <w:uiPriority w:val="1"/>
    <w:rsid w:val="00E71A92"/>
    <w:rPr>
      <w:rFonts w:asciiTheme="minorHAnsi" w:hAnsiTheme="minorHAnsi"/>
      <w:color w:val="000000" w:themeColor="text1"/>
    </w:rPr>
  </w:style>
  <w:style w:type="character" w:styleId="CommentReference">
    <w:name w:val="annotation reference"/>
    <w:basedOn w:val="DefaultParagraphFont"/>
    <w:uiPriority w:val="99"/>
    <w:semiHidden/>
    <w:unhideWhenUsed/>
    <w:rsid w:val="005E36E3"/>
    <w:rPr>
      <w:sz w:val="16"/>
      <w:szCs w:val="16"/>
    </w:rPr>
  </w:style>
  <w:style w:type="paragraph" w:styleId="CommentText">
    <w:name w:val="annotation text"/>
    <w:basedOn w:val="Normal"/>
    <w:link w:val="CommentTextChar"/>
    <w:uiPriority w:val="99"/>
    <w:unhideWhenUsed/>
    <w:rsid w:val="005E36E3"/>
    <w:pPr>
      <w:spacing w:line="240" w:lineRule="auto"/>
    </w:pPr>
    <w:rPr>
      <w:sz w:val="20"/>
      <w:szCs w:val="20"/>
    </w:rPr>
  </w:style>
  <w:style w:type="character" w:customStyle="1" w:styleId="CommentTextChar">
    <w:name w:val="Comment Text Char"/>
    <w:basedOn w:val="DefaultParagraphFont"/>
    <w:link w:val="CommentText"/>
    <w:uiPriority w:val="99"/>
    <w:rsid w:val="005E36E3"/>
    <w:rPr>
      <w:rFonts w:asciiTheme="minorHAnsi" w:hAnsi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5E36E3"/>
    <w:rPr>
      <w:b/>
      <w:bCs/>
    </w:rPr>
  </w:style>
  <w:style w:type="character" w:customStyle="1" w:styleId="CommentSubjectChar">
    <w:name w:val="Comment Subject Char"/>
    <w:basedOn w:val="CommentTextChar"/>
    <w:link w:val="CommentSubject"/>
    <w:uiPriority w:val="99"/>
    <w:semiHidden/>
    <w:rsid w:val="005E36E3"/>
    <w:rPr>
      <w:rFonts w:asciiTheme="minorHAnsi" w:hAnsiTheme="minorHAnsi"/>
      <w:b/>
      <w:bCs/>
      <w:color w:val="000000" w:themeColor="text1"/>
      <w:sz w:val="20"/>
      <w:szCs w:val="20"/>
    </w:rPr>
  </w:style>
  <w:style w:type="character" w:styleId="UnresolvedMention">
    <w:name w:val="Unresolved Mention"/>
    <w:basedOn w:val="DefaultParagraphFont"/>
    <w:uiPriority w:val="99"/>
    <w:unhideWhenUsed/>
    <w:rsid w:val="006039D7"/>
    <w:rPr>
      <w:color w:val="605E5C"/>
      <w:shd w:val="clear" w:color="auto" w:fill="E1DFDD"/>
    </w:rPr>
  </w:style>
  <w:style w:type="table" w:styleId="PlainTable2">
    <w:name w:val="Plain Table 2"/>
    <w:basedOn w:val="TableNormal"/>
    <w:uiPriority w:val="42"/>
    <w:rsid w:val="0062190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GCCenterAlignmentShaded">
    <w:name w:val="TGC Center Alignment Shaded"/>
    <w:basedOn w:val="TableNormal"/>
    <w:uiPriority w:val="99"/>
    <w:rsid w:val="008263E2"/>
    <w:pPr>
      <w:suppressAutoHyphens/>
      <w:spacing w:line="240" w:lineRule="auto"/>
      <w:jc w:val="center"/>
    </w:pPr>
    <w:rPr>
      <w:rFonts w:asciiTheme="minorHAnsi" w:hAnsiTheme="minorHAnsi"/>
      <w:color w:val="FFFFFF" w:themeColor="background1"/>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pPr>
        <w:jc w:val="center"/>
      </w:pPr>
      <w:rPr>
        <w:rFonts w:asciiTheme="minorHAnsi" w:hAnsiTheme="minorHAnsi"/>
        <w:b/>
        <w:bCs/>
        <w:i w:val="0"/>
        <w:color w:val="FFFFFF" w:themeColor="background1"/>
        <w:sz w:val="22"/>
      </w:rPr>
      <w:tblPr/>
      <w:tcPr>
        <w:shd w:val="clear" w:color="auto" w:fill="002775" w:themeFill="accent1"/>
      </w:tcPr>
    </w:tblStylePr>
    <w:tblStylePr w:type="lastRow">
      <w:rPr>
        <w:b/>
        <w:bCs/>
        <w:color w:val="auto"/>
      </w:rPr>
      <w:tblPr/>
      <w:tcPr>
        <w:shd w:val="clear" w:color="auto" w:fill="FFFFFF" w:themeFill="background1"/>
      </w:tcPr>
    </w:tblStylePr>
    <w:tblStylePr w:type="firstCol">
      <w:pPr>
        <w:jc w:val="left"/>
      </w:pPr>
      <w:rPr>
        <w:rFonts w:asciiTheme="minorHAnsi" w:hAnsiTheme="minorHAnsi"/>
        <w:b w:val="0"/>
        <w:bCs/>
      </w:rPr>
    </w:tblStylePr>
    <w:tblStylePr w:type="lastCol">
      <w:rPr>
        <w:b/>
        <w:bCs/>
      </w:rPr>
      <w:tblPr/>
      <w:tcPr>
        <w:tcBorders>
          <w:tl2br w:val="none" w:sz="0" w:space="0" w:color="auto"/>
          <w:tr2bl w:val="none" w:sz="0" w:space="0" w:color="auto"/>
        </w:tcBorders>
      </w:tc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nwCell">
      <w:pPr>
        <w:jc w:val="left"/>
      </w:pPr>
    </w:tblStylePr>
    <w:tblStylePr w:type="swCell">
      <w:rPr>
        <w:rFonts w:asciiTheme="minorHAnsi" w:hAnsiTheme="minorHAnsi"/>
        <w:sz w:val="20"/>
      </w:rPr>
    </w:tblStylePr>
  </w:style>
  <w:style w:type="table" w:customStyle="1" w:styleId="TGCLeftAlignmentShaded">
    <w:name w:val="TGC Left Alignment Shaded"/>
    <w:basedOn w:val="TGCLeftAlignment"/>
    <w:uiPriority w:val="99"/>
    <w:rsid w:val="008263E2"/>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seCell">
      <w:rPr>
        <w:rFonts w:asciiTheme="majorHAnsi" w:hAnsiTheme="majorHAnsi"/>
        <w:b w:val="0"/>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val="0"/>
        <w:color w:val="auto"/>
        <w:sz w:val="20"/>
      </w:rPr>
      <w:tblPr/>
      <w:tcPr>
        <w:tcBorders>
          <w:top w:val="single" w:sz="4" w:space="0" w:color="8496B0" w:themeColor="text2" w:themeTint="99"/>
        </w:tcBorders>
        <w:shd w:val="clear" w:color="auto" w:fill="FFFFFF" w:themeFill="background1"/>
      </w:tcPr>
    </w:tblStylePr>
  </w:style>
  <w:style w:type="table" w:customStyle="1" w:styleId="TGCRightAlignmentShaded">
    <w:name w:val="TGC Right Alignment Shaded"/>
    <w:basedOn w:val="TGCRightAlignment"/>
    <w:uiPriority w:val="99"/>
    <w:rsid w:val="008263E2"/>
    <w:tblPr/>
    <w:tcPr>
      <w:shd w:val="clear" w:color="auto" w:fill="FFFFFF" w:themeFill="background1"/>
    </w:tcPr>
    <w:tblStylePr w:type="firstRow">
      <w:rPr>
        <w:rFonts w:asciiTheme="minorHAnsi" w:hAnsiTheme="minorHAnsi"/>
        <w:b/>
        <w:color w:val="FFFFFF" w:themeColor="background1"/>
        <w:sz w:val="22"/>
      </w:rPr>
      <w:tblPr/>
      <w:tcPr>
        <w:shd w:val="clear" w:color="auto" w:fill="002775" w:themeFill="accent1"/>
      </w:tcPr>
    </w:tblStylePr>
    <w:tblStylePr w:type="lastRow">
      <w:rPr>
        <w:rFonts w:asciiTheme="minorHAnsi" w:hAnsiTheme="minorHAnsi"/>
        <w:sz w:val="22"/>
      </w:rPr>
    </w:tblStylePr>
    <w:tblStylePr w:type="firstCol">
      <w:pPr>
        <w:wordWrap/>
        <w:jc w:val="left"/>
      </w:pPr>
    </w:tblStylePr>
    <w:tblStylePr w:type="band1Horz">
      <w:rPr>
        <w:rFonts w:asciiTheme="minorHAnsi" w:hAnsiTheme="minorHAnsi"/>
        <w:color w:val="auto"/>
        <w:sz w:val="22"/>
      </w:rPr>
      <w:tblPr/>
      <w:tcPr>
        <w:shd w:val="clear" w:color="auto" w:fill="EFF5FB"/>
      </w:tcPr>
    </w:tblStylePr>
    <w:tblStylePr w:type="band2Horz">
      <w:rPr>
        <w:rFonts w:asciiTheme="minorHAnsi" w:hAnsiTheme="minorHAnsi"/>
        <w:color w:val="auto"/>
        <w:sz w:val="22"/>
      </w:rPr>
    </w:tblStylePr>
    <w:tblStylePr w:type="seCell">
      <w:rPr>
        <w:rFonts w:asciiTheme="majorHAnsi" w:hAnsiTheme="majorHAnsi"/>
        <w:b/>
        <w:sz w:val="20"/>
      </w:rPr>
      <w:tblPr/>
      <w:tcPr>
        <w:tcBorders>
          <w:top w:val="single" w:sz="4" w:space="0" w:color="8496B0" w:themeColor="text2" w:themeTint="99"/>
        </w:tcBorders>
        <w:shd w:val="clear" w:color="auto" w:fill="FFFFFF" w:themeFill="background1"/>
      </w:tcPr>
    </w:tblStylePr>
    <w:tblStylePr w:type="swCell">
      <w:rPr>
        <w:rFonts w:asciiTheme="majorHAnsi" w:hAnsiTheme="majorHAnsi"/>
        <w:b/>
        <w:color w:val="auto"/>
        <w:sz w:val="20"/>
      </w:rPr>
      <w:tblPr/>
      <w:tcPr>
        <w:tcBorders>
          <w:top w:val="single" w:sz="4" w:space="0" w:color="8496B0" w:themeColor="text2" w:themeTint="99"/>
        </w:tcBorders>
        <w:shd w:val="clear" w:color="auto" w:fill="FFFFFF" w:themeFill="background1"/>
      </w:tcPr>
    </w:tblStylePr>
  </w:style>
  <w:style w:type="character" w:customStyle="1" w:styleId="Heading6Char">
    <w:name w:val="Heading 6 Char"/>
    <w:basedOn w:val="DefaultParagraphFont"/>
    <w:link w:val="Heading6"/>
    <w:uiPriority w:val="9"/>
    <w:rsid w:val="003D2EF4"/>
    <w:rPr>
      <w:rFonts w:asciiTheme="majorHAnsi" w:eastAsiaTheme="majorEastAsia" w:hAnsiTheme="majorHAnsi" w:cstheme="majorBidi"/>
      <w:color w:val="00133A" w:themeColor="accent1" w:themeShade="7F"/>
    </w:rPr>
  </w:style>
  <w:style w:type="table" w:customStyle="1" w:styleId="TGCCenterAlignment">
    <w:name w:val="TGC Center Alignment"/>
    <w:basedOn w:val="TableGrid"/>
    <w:uiPriority w:val="99"/>
    <w:rsid w:val="00404108"/>
    <w:pPr>
      <w:suppressAutoHyphens/>
      <w:jc w:val="center"/>
    </w:pPr>
    <w:rPr>
      <w:rFonts w:asciiTheme="minorHAnsi" w:hAnsiTheme="minorHAnsi"/>
      <w:color w:val="FFFFFF" w:themeColor="background1"/>
    </w:rPr>
    <w:tblPr>
      <w:tblStyleRowBandSize w:val="1"/>
      <w:tblStyleColBandSize w:val="1"/>
      <w:tblBorders>
        <w:top w:val="single" w:sz="4" w:space="0" w:color="5B9BD5" w:themeColor="accent4"/>
        <w:left w:val="single" w:sz="4" w:space="0" w:color="5B9BD5" w:themeColor="accent4"/>
        <w:bottom w:val="single" w:sz="4" w:space="0" w:color="5B9BD5" w:themeColor="accent4"/>
        <w:right w:val="single" w:sz="4" w:space="0" w:color="5B9BD5" w:themeColor="accent4"/>
        <w:insideH w:val="single" w:sz="4" w:space="0" w:color="5B9BD5" w:themeColor="accent4"/>
        <w:insideV w:val="single" w:sz="4" w:space="0" w:color="5B9BD5" w:themeColor="accent4"/>
      </w:tblBorders>
      <w:tblCellMar>
        <w:left w:w="0" w:type="dxa"/>
        <w:right w:w="0" w:type="dxa"/>
      </w:tblCellMar>
    </w:tblPr>
    <w:tcPr>
      <w:shd w:val="clear" w:color="auto" w:fill="FFFFFF" w:themeFill="background1"/>
      <w:vAlign w:val="center"/>
    </w:tcPr>
    <w:tblStylePr w:type="firstRow">
      <w:pPr>
        <w:jc w:val="center"/>
      </w:pPr>
      <w:rPr>
        <w:rFonts w:asciiTheme="minorHAnsi" w:hAnsiTheme="minorHAnsi"/>
        <w:b/>
        <w:bCs/>
        <w:i w:val="0"/>
        <w:color w:val="FFFFFF" w:themeColor="background1"/>
        <w:sz w:val="22"/>
      </w:rPr>
      <w:tblPr/>
      <w:tcPr>
        <w:shd w:val="clear" w:color="auto" w:fill="002775" w:themeFill="accent1"/>
      </w:tcPr>
    </w:tblStylePr>
    <w:tblStylePr w:type="lastRow">
      <w:rPr>
        <w:b/>
        <w:bCs/>
        <w:color w:val="auto"/>
      </w:rPr>
      <w:tblPr/>
      <w:tcPr>
        <w:shd w:val="clear" w:color="auto" w:fill="FFFFFF" w:themeFill="background1"/>
      </w:tcPr>
    </w:tblStylePr>
    <w:tblStylePr w:type="firstCol">
      <w:pPr>
        <w:jc w:val="left"/>
      </w:pPr>
      <w:rPr>
        <w:rFonts w:asciiTheme="minorHAnsi" w:hAnsiTheme="minorHAnsi"/>
        <w:b w:val="0"/>
        <w:bCs/>
      </w:rPr>
    </w:tblStylePr>
    <w:tblStylePr w:type="lastCol">
      <w:rPr>
        <w:b/>
        <w:bCs/>
      </w:rPr>
      <w:tblPr/>
      <w:tcPr>
        <w:tcBorders>
          <w:tl2br w:val="none" w:sz="0" w:space="0" w:color="auto"/>
          <w:tr2bl w:val="none" w:sz="0" w:space="0" w:color="auto"/>
        </w:tcBorders>
      </w:tcPr>
    </w:tblStylePr>
    <w:tblStylePr w:type="band1Horz">
      <w:rPr>
        <w:rFonts w:asciiTheme="minorHAnsi" w:hAnsiTheme="minorHAnsi"/>
        <w:color w:val="auto"/>
        <w:sz w:val="22"/>
      </w:rPr>
    </w:tblStylePr>
    <w:tblStylePr w:type="band2Horz">
      <w:rPr>
        <w:rFonts w:asciiTheme="minorHAnsi" w:hAnsiTheme="minorHAnsi"/>
        <w:color w:val="auto"/>
        <w:sz w:val="22"/>
      </w:rPr>
    </w:tblStylePr>
    <w:tblStylePr w:type="nwCell">
      <w:pPr>
        <w:jc w:val="left"/>
      </w:pPr>
    </w:tblStylePr>
    <w:tblStylePr w:type="swCell">
      <w:rPr>
        <w:rFonts w:asciiTheme="minorHAnsi" w:hAnsiTheme="minorHAnsi"/>
        <w:sz w:val="20"/>
      </w:rPr>
    </w:tblStylePr>
  </w:style>
  <w:style w:type="paragraph" w:styleId="BalloonText">
    <w:name w:val="Balloon Text"/>
    <w:basedOn w:val="Normal"/>
    <w:link w:val="BalloonTextChar"/>
    <w:uiPriority w:val="99"/>
    <w:semiHidden/>
    <w:unhideWhenUsed/>
    <w:rsid w:val="003D2EF4"/>
    <w:pPr>
      <w:spacing w:line="240" w:lineRule="auto"/>
      <w:jc w:val="both"/>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3D2EF4"/>
    <w:rPr>
      <w:rFonts w:ascii="Segoe UI" w:eastAsia="SimSun" w:hAnsi="Segoe UI" w:cs="Segoe UI"/>
      <w:sz w:val="18"/>
      <w:szCs w:val="18"/>
    </w:rPr>
  </w:style>
  <w:style w:type="paragraph" w:styleId="BodyText">
    <w:name w:val="Body Text"/>
    <w:basedOn w:val="NoSpacing"/>
    <w:link w:val="BodyTextChar"/>
    <w:uiPriority w:val="1"/>
    <w:qFormat/>
    <w:rsid w:val="003D2EF4"/>
    <w:pPr>
      <w:spacing w:line="240" w:lineRule="auto"/>
      <w:jc w:val="both"/>
    </w:pPr>
    <w:rPr>
      <w:rFonts w:eastAsiaTheme="minorEastAsia" w:cstheme="minorBidi"/>
    </w:rPr>
  </w:style>
  <w:style w:type="character" w:customStyle="1" w:styleId="BodyTextChar">
    <w:name w:val="Body Text Char"/>
    <w:basedOn w:val="DefaultParagraphFont"/>
    <w:link w:val="BodyText"/>
    <w:uiPriority w:val="1"/>
    <w:rsid w:val="003D2EF4"/>
    <w:rPr>
      <w:rFonts w:asciiTheme="minorHAnsi" w:eastAsiaTheme="minorEastAsia" w:hAnsiTheme="minorHAnsi" w:cstheme="minorBidi"/>
    </w:rPr>
  </w:style>
  <w:style w:type="paragraph" w:styleId="NormalWeb">
    <w:name w:val="Normal (Web)"/>
    <w:basedOn w:val="Normal"/>
    <w:uiPriority w:val="99"/>
    <w:semiHidden/>
    <w:unhideWhenUsed/>
    <w:rsid w:val="003D2EF4"/>
    <w:pPr>
      <w:spacing w:before="100" w:beforeAutospacing="1" w:after="100" w:afterAutospacing="1" w:line="240" w:lineRule="auto"/>
    </w:pPr>
    <w:rPr>
      <w:rFonts w:ascii="Times New Roman" w:eastAsia="Times New Roman" w:hAnsi="Times New Roman" w:cs="Times New Roman"/>
      <w:szCs w:val="24"/>
    </w:rPr>
  </w:style>
  <w:style w:type="paragraph" w:customStyle="1" w:styleId="ReportTitle">
    <w:name w:val="Report Title"/>
    <w:basedOn w:val="Heading1"/>
    <w:next w:val="Normal"/>
    <w:link w:val="ReportTitleChar"/>
    <w:rsid w:val="003D2EF4"/>
    <w:pPr>
      <w:spacing w:after="80"/>
      <w:jc w:val="both"/>
    </w:pPr>
    <w:rPr>
      <w:rFonts w:cs="Calibri"/>
      <w:color w:val="002060"/>
      <w:szCs w:val="40"/>
    </w:rPr>
  </w:style>
  <w:style w:type="character" w:customStyle="1" w:styleId="ReportTitleChar">
    <w:name w:val="Report Title Char"/>
    <w:basedOn w:val="Heading1Char"/>
    <w:link w:val="ReportTitle"/>
    <w:rsid w:val="003D2EF4"/>
    <w:rPr>
      <w:rFonts w:ascii="Calibri" w:eastAsiaTheme="majorEastAsia" w:hAnsi="Calibri" w:cs="Calibri"/>
      <w:b/>
      <w:color w:val="002060"/>
      <w:sz w:val="40"/>
      <w:szCs w:val="40"/>
    </w:rPr>
  </w:style>
  <w:style w:type="character" w:styleId="FollowedHyperlink">
    <w:name w:val="FollowedHyperlink"/>
    <w:basedOn w:val="DefaultParagraphFont"/>
    <w:uiPriority w:val="99"/>
    <w:semiHidden/>
    <w:unhideWhenUsed/>
    <w:rsid w:val="003D2EF4"/>
    <w:rPr>
      <w:color w:val="954F72" w:themeColor="followedHyperlink"/>
      <w:u w:val="single"/>
    </w:rPr>
  </w:style>
  <w:style w:type="paragraph" w:styleId="Revision">
    <w:name w:val="Revision"/>
    <w:hidden/>
    <w:uiPriority w:val="99"/>
    <w:semiHidden/>
    <w:rsid w:val="003D2EF4"/>
    <w:pPr>
      <w:spacing w:line="240" w:lineRule="auto"/>
    </w:pPr>
    <w:rPr>
      <w:rFonts w:asciiTheme="minorHAnsi" w:eastAsia="SimSun" w:hAnsiTheme="minorHAnsi" w:cstheme="minorBidi"/>
    </w:rPr>
  </w:style>
  <w:style w:type="character" w:styleId="PlaceholderText">
    <w:name w:val="Placeholder Text"/>
    <w:basedOn w:val="DefaultParagraphFont"/>
    <w:uiPriority w:val="99"/>
    <w:semiHidden/>
    <w:rsid w:val="003D2EF4"/>
    <w:rPr>
      <w:color w:val="808080"/>
    </w:rPr>
  </w:style>
  <w:style w:type="paragraph" w:styleId="Caption">
    <w:name w:val="caption"/>
    <w:basedOn w:val="Normal"/>
    <w:next w:val="Normal"/>
    <w:unhideWhenUsed/>
    <w:qFormat/>
    <w:rsid w:val="00150F0D"/>
    <w:pPr>
      <w:spacing w:after="200" w:line="240" w:lineRule="auto"/>
    </w:pPr>
    <w:rPr>
      <w:iCs/>
      <w:sz w:val="18"/>
      <w:szCs w:val="18"/>
    </w:rPr>
  </w:style>
  <w:style w:type="paragraph" w:styleId="FootnoteText">
    <w:name w:val="footnote text"/>
    <w:basedOn w:val="Normal"/>
    <w:link w:val="FootnoteTextChar"/>
    <w:uiPriority w:val="99"/>
    <w:semiHidden/>
    <w:unhideWhenUsed/>
    <w:rsid w:val="0015696A"/>
    <w:pPr>
      <w:spacing w:line="240" w:lineRule="auto"/>
    </w:pPr>
    <w:rPr>
      <w:sz w:val="20"/>
      <w:szCs w:val="20"/>
    </w:rPr>
  </w:style>
  <w:style w:type="character" w:customStyle="1" w:styleId="FootnoteTextChar">
    <w:name w:val="Footnote Text Char"/>
    <w:basedOn w:val="DefaultParagraphFont"/>
    <w:link w:val="FootnoteText"/>
    <w:uiPriority w:val="99"/>
    <w:semiHidden/>
    <w:rsid w:val="0015696A"/>
    <w:rPr>
      <w:rFonts w:asciiTheme="minorHAnsi" w:hAnsiTheme="minorHAnsi"/>
      <w:color w:val="000000" w:themeColor="text1"/>
      <w:sz w:val="20"/>
      <w:szCs w:val="20"/>
    </w:rPr>
  </w:style>
  <w:style w:type="character" w:styleId="FootnoteReference">
    <w:name w:val="footnote reference"/>
    <w:basedOn w:val="DefaultParagraphFont"/>
    <w:uiPriority w:val="99"/>
    <w:semiHidden/>
    <w:unhideWhenUsed/>
    <w:rsid w:val="0015696A"/>
    <w:rPr>
      <w:vertAlign w:val="superscript"/>
    </w:rPr>
  </w:style>
  <w:style w:type="character" w:styleId="Mention">
    <w:name w:val="Mention"/>
    <w:basedOn w:val="DefaultParagraphFont"/>
    <w:uiPriority w:val="99"/>
    <w:unhideWhenUsed/>
    <w:rsid w:val="00EC79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2165">
      <w:bodyDiv w:val="1"/>
      <w:marLeft w:val="0"/>
      <w:marRight w:val="0"/>
      <w:marTop w:val="0"/>
      <w:marBottom w:val="0"/>
      <w:divBdr>
        <w:top w:val="none" w:sz="0" w:space="0" w:color="auto"/>
        <w:left w:val="none" w:sz="0" w:space="0" w:color="auto"/>
        <w:bottom w:val="none" w:sz="0" w:space="0" w:color="auto"/>
        <w:right w:val="none" w:sz="0" w:space="0" w:color="auto"/>
      </w:divBdr>
    </w:div>
    <w:div w:id="44958213">
      <w:bodyDiv w:val="1"/>
      <w:marLeft w:val="0"/>
      <w:marRight w:val="0"/>
      <w:marTop w:val="0"/>
      <w:marBottom w:val="0"/>
      <w:divBdr>
        <w:top w:val="none" w:sz="0" w:space="0" w:color="auto"/>
        <w:left w:val="none" w:sz="0" w:space="0" w:color="auto"/>
        <w:bottom w:val="none" w:sz="0" w:space="0" w:color="auto"/>
        <w:right w:val="none" w:sz="0" w:space="0" w:color="auto"/>
      </w:divBdr>
    </w:div>
    <w:div w:id="109861227">
      <w:bodyDiv w:val="1"/>
      <w:marLeft w:val="0"/>
      <w:marRight w:val="0"/>
      <w:marTop w:val="0"/>
      <w:marBottom w:val="0"/>
      <w:divBdr>
        <w:top w:val="none" w:sz="0" w:space="0" w:color="auto"/>
        <w:left w:val="none" w:sz="0" w:space="0" w:color="auto"/>
        <w:bottom w:val="none" w:sz="0" w:space="0" w:color="auto"/>
        <w:right w:val="none" w:sz="0" w:space="0" w:color="auto"/>
      </w:divBdr>
    </w:div>
    <w:div w:id="160589955">
      <w:bodyDiv w:val="1"/>
      <w:marLeft w:val="0"/>
      <w:marRight w:val="0"/>
      <w:marTop w:val="0"/>
      <w:marBottom w:val="0"/>
      <w:divBdr>
        <w:top w:val="none" w:sz="0" w:space="0" w:color="auto"/>
        <w:left w:val="none" w:sz="0" w:space="0" w:color="auto"/>
        <w:bottom w:val="none" w:sz="0" w:space="0" w:color="auto"/>
        <w:right w:val="none" w:sz="0" w:space="0" w:color="auto"/>
      </w:divBdr>
    </w:div>
    <w:div w:id="247422662">
      <w:bodyDiv w:val="1"/>
      <w:marLeft w:val="0"/>
      <w:marRight w:val="0"/>
      <w:marTop w:val="0"/>
      <w:marBottom w:val="0"/>
      <w:divBdr>
        <w:top w:val="none" w:sz="0" w:space="0" w:color="auto"/>
        <w:left w:val="none" w:sz="0" w:space="0" w:color="auto"/>
        <w:bottom w:val="none" w:sz="0" w:space="0" w:color="auto"/>
        <w:right w:val="none" w:sz="0" w:space="0" w:color="auto"/>
      </w:divBdr>
    </w:div>
    <w:div w:id="259804133">
      <w:bodyDiv w:val="1"/>
      <w:marLeft w:val="0"/>
      <w:marRight w:val="0"/>
      <w:marTop w:val="0"/>
      <w:marBottom w:val="0"/>
      <w:divBdr>
        <w:top w:val="none" w:sz="0" w:space="0" w:color="auto"/>
        <w:left w:val="none" w:sz="0" w:space="0" w:color="auto"/>
        <w:bottom w:val="none" w:sz="0" w:space="0" w:color="auto"/>
        <w:right w:val="none" w:sz="0" w:space="0" w:color="auto"/>
      </w:divBdr>
    </w:div>
    <w:div w:id="323975144">
      <w:bodyDiv w:val="1"/>
      <w:marLeft w:val="0"/>
      <w:marRight w:val="0"/>
      <w:marTop w:val="0"/>
      <w:marBottom w:val="0"/>
      <w:divBdr>
        <w:top w:val="none" w:sz="0" w:space="0" w:color="auto"/>
        <w:left w:val="none" w:sz="0" w:space="0" w:color="auto"/>
        <w:bottom w:val="none" w:sz="0" w:space="0" w:color="auto"/>
        <w:right w:val="none" w:sz="0" w:space="0" w:color="auto"/>
      </w:divBdr>
    </w:div>
    <w:div w:id="335116778">
      <w:bodyDiv w:val="1"/>
      <w:marLeft w:val="0"/>
      <w:marRight w:val="0"/>
      <w:marTop w:val="0"/>
      <w:marBottom w:val="0"/>
      <w:divBdr>
        <w:top w:val="none" w:sz="0" w:space="0" w:color="auto"/>
        <w:left w:val="none" w:sz="0" w:space="0" w:color="auto"/>
        <w:bottom w:val="none" w:sz="0" w:space="0" w:color="auto"/>
        <w:right w:val="none" w:sz="0" w:space="0" w:color="auto"/>
      </w:divBdr>
    </w:div>
    <w:div w:id="339040107">
      <w:bodyDiv w:val="1"/>
      <w:marLeft w:val="0"/>
      <w:marRight w:val="0"/>
      <w:marTop w:val="0"/>
      <w:marBottom w:val="0"/>
      <w:divBdr>
        <w:top w:val="none" w:sz="0" w:space="0" w:color="auto"/>
        <w:left w:val="none" w:sz="0" w:space="0" w:color="auto"/>
        <w:bottom w:val="none" w:sz="0" w:space="0" w:color="auto"/>
        <w:right w:val="none" w:sz="0" w:space="0" w:color="auto"/>
      </w:divBdr>
    </w:div>
    <w:div w:id="355035312">
      <w:bodyDiv w:val="1"/>
      <w:marLeft w:val="0"/>
      <w:marRight w:val="0"/>
      <w:marTop w:val="0"/>
      <w:marBottom w:val="0"/>
      <w:divBdr>
        <w:top w:val="none" w:sz="0" w:space="0" w:color="auto"/>
        <w:left w:val="none" w:sz="0" w:space="0" w:color="auto"/>
        <w:bottom w:val="none" w:sz="0" w:space="0" w:color="auto"/>
        <w:right w:val="none" w:sz="0" w:space="0" w:color="auto"/>
      </w:divBdr>
    </w:div>
    <w:div w:id="433399797">
      <w:bodyDiv w:val="1"/>
      <w:marLeft w:val="0"/>
      <w:marRight w:val="0"/>
      <w:marTop w:val="0"/>
      <w:marBottom w:val="0"/>
      <w:divBdr>
        <w:top w:val="none" w:sz="0" w:space="0" w:color="auto"/>
        <w:left w:val="none" w:sz="0" w:space="0" w:color="auto"/>
        <w:bottom w:val="none" w:sz="0" w:space="0" w:color="auto"/>
        <w:right w:val="none" w:sz="0" w:space="0" w:color="auto"/>
      </w:divBdr>
    </w:div>
    <w:div w:id="438179594">
      <w:bodyDiv w:val="1"/>
      <w:marLeft w:val="0"/>
      <w:marRight w:val="0"/>
      <w:marTop w:val="0"/>
      <w:marBottom w:val="0"/>
      <w:divBdr>
        <w:top w:val="none" w:sz="0" w:space="0" w:color="auto"/>
        <w:left w:val="none" w:sz="0" w:space="0" w:color="auto"/>
        <w:bottom w:val="none" w:sz="0" w:space="0" w:color="auto"/>
        <w:right w:val="none" w:sz="0" w:space="0" w:color="auto"/>
      </w:divBdr>
    </w:div>
    <w:div w:id="463931864">
      <w:bodyDiv w:val="1"/>
      <w:marLeft w:val="0"/>
      <w:marRight w:val="0"/>
      <w:marTop w:val="0"/>
      <w:marBottom w:val="0"/>
      <w:divBdr>
        <w:top w:val="none" w:sz="0" w:space="0" w:color="auto"/>
        <w:left w:val="none" w:sz="0" w:space="0" w:color="auto"/>
        <w:bottom w:val="none" w:sz="0" w:space="0" w:color="auto"/>
        <w:right w:val="none" w:sz="0" w:space="0" w:color="auto"/>
      </w:divBdr>
    </w:div>
    <w:div w:id="784691484">
      <w:bodyDiv w:val="1"/>
      <w:marLeft w:val="0"/>
      <w:marRight w:val="0"/>
      <w:marTop w:val="0"/>
      <w:marBottom w:val="0"/>
      <w:divBdr>
        <w:top w:val="none" w:sz="0" w:space="0" w:color="auto"/>
        <w:left w:val="none" w:sz="0" w:space="0" w:color="auto"/>
        <w:bottom w:val="none" w:sz="0" w:space="0" w:color="auto"/>
        <w:right w:val="none" w:sz="0" w:space="0" w:color="auto"/>
      </w:divBdr>
    </w:div>
    <w:div w:id="804158221">
      <w:bodyDiv w:val="1"/>
      <w:marLeft w:val="0"/>
      <w:marRight w:val="0"/>
      <w:marTop w:val="0"/>
      <w:marBottom w:val="0"/>
      <w:divBdr>
        <w:top w:val="none" w:sz="0" w:space="0" w:color="auto"/>
        <w:left w:val="none" w:sz="0" w:space="0" w:color="auto"/>
        <w:bottom w:val="none" w:sz="0" w:space="0" w:color="auto"/>
        <w:right w:val="none" w:sz="0" w:space="0" w:color="auto"/>
      </w:divBdr>
    </w:div>
    <w:div w:id="851842299">
      <w:bodyDiv w:val="1"/>
      <w:marLeft w:val="0"/>
      <w:marRight w:val="0"/>
      <w:marTop w:val="0"/>
      <w:marBottom w:val="0"/>
      <w:divBdr>
        <w:top w:val="none" w:sz="0" w:space="0" w:color="auto"/>
        <w:left w:val="none" w:sz="0" w:space="0" w:color="auto"/>
        <w:bottom w:val="none" w:sz="0" w:space="0" w:color="auto"/>
        <w:right w:val="none" w:sz="0" w:space="0" w:color="auto"/>
      </w:divBdr>
    </w:div>
    <w:div w:id="862551235">
      <w:bodyDiv w:val="1"/>
      <w:marLeft w:val="0"/>
      <w:marRight w:val="0"/>
      <w:marTop w:val="0"/>
      <w:marBottom w:val="0"/>
      <w:divBdr>
        <w:top w:val="none" w:sz="0" w:space="0" w:color="auto"/>
        <w:left w:val="none" w:sz="0" w:space="0" w:color="auto"/>
        <w:bottom w:val="none" w:sz="0" w:space="0" w:color="auto"/>
        <w:right w:val="none" w:sz="0" w:space="0" w:color="auto"/>
      </w:divBdr>
    </w:div>
    <w:div w:id="986320305">
      <w:bodyDiv w:val="1"/>
      <w:marLeft w:val="0"/>
      <w:marRight w:val="0"/>
      <w:marTop w:val="0"/>
      <w:marBottom w:val="0"/>
      <w:divBdr>
        <w:top w:val="none" w:sz="0" w:space="0" w:color="auto"/>
        <w:left w:val="none" w:sz="0" w:space="0" w:color="auto"/>
        <w:bottom w:val="none" w:sz="0" w:space="0" w:color="auto"/>
        <w:right w:val="none" w:sz="0" w:space="0" w:color="auto"/>
      </w:divBdr>
    </w:div>
    <w:div w:id="1071390841">
      <w:bodyDiv w:val="1"/>
      <w:marLeft w:val="0"/>
      <w:marRight w:val="0"/>
      <w:marTop w:val="0"/>
      <w:marBottom w:val="0"/>
      <w:divBdr>
        <w:top w:val="none" w:sz="0" w:space="0" w:color="auto"/>
        <w:left w:val="none" w:sz="0" w:space="0" w:color="auto"/>
        <w:bottom w:val="none" w:sz="0" w:space="0" w:color="auto"/>
        <w:right w:val="none" w:sz="0" w:space="0" w:color="auto"/>
      </w:divBdr>
    </w:div>
    <w:div w:id="1097823980">
      <w:bodyDiv w:val="1"/>
      <w:marLeft w:val="0"/>
      <w:marRight w:val="0"/>
      <w:marTop w:val="0"/>
      <w:marBottom w:val="0"/>
      <w:divBdr>
        <w:top w:val="none" w:sz="0" w:space="0" w:color="auto"/>
        <w:left w:val="none" w:sz="0" w:space="0" w:color="auto"/>
        <w:bottom w:val="none" w:sz="0" w:space="0" w:color="auto"/>
        <w:right w:val="none" w:sz="0" w:space="0" w:color="auto"/>
      </w:divBdr>
    </w:div>
    <w:div w:id="1105079862">
      <w:bodyDiv w:val="1"/>
      <w:marLeft w:val="0"/>
      <w:marRight w:val="0"/>
      <w:marTop w:val="0"/>
      <w:marBottom w:val="0"/>
      <w:divBdr>
        <w:top w:val="none" w:sz="0" w:space="0" w:color="auto"/>
        <w:left w:val="none" w:sz="0" w:space="0" w:color="auto"/>
        <w:bottom w:val="none" w:sz="0" w:space="0" w:color="auto"/>
        <w:right w:val="none" w:sz="0" w:space="0" w:color="auto"/>
      </w:divBdr>
    </w:div>
    <w:div w:id="1237281375">
      <w:bodyDiv w:val="1"/>
      <w:marLeft w:val="0"/>
      <w:marRight w:val="0"/>
      <w:marTop w:val="0"/>
      <w:marBottom w:val="0"/>
      <w:divBdr>
        <w:top w:val="none" w:sz="0" w:space="0" w:color="auto"/>
        <w:left w:val="none" w:sz="0" w:space="0" w:color="auto"/>
        <w:bottom w:val="none" w:sz="0" w:space="0" w:color="auto"/>
        <w:right w:val="none" w:sz="0" w:space="0" w:color="auto"/>
      </w:divBdr>
    </w:div>
    <w:div w:id="1356226917">
      <w:bodyDiv w:val="1"/>
      <w:marLeft w:val="0"/>
      <w:marRight w:val="0"/>
      <w:marTop w:val="0"/>
      <w:marBottom w:val="0"/>
      <w:divBdr>
        <w:top w:val="none" w:sz="0" w:space="0" w:color="auto"/>
        <w:left w:val="none" w:sz="0" w:space="0" w:color="auto"/>
        <w:bottom w:val="none" w:sz="0" w:space="0" w:color="auto"/>
        <w:right w:val="none" w:sz="0" w:space="0" w:color="auto"/>
      </w:divBdr>
    </w:div>
    <w:div w:id="1447045132">
      <w:bodyDiv w:val="1"/>
      <w:marLeft w:val="0"/>
      <w:marRight w:val="0"/>
      <w:marTop w:val="0"/>
      <w:marBottom w:val="0"/>
      <w:divBdr>
        <w:top w:val="none" w:sz="0" w:space="0" w:color="auto"/>
        <w:left w:val="none" w:sz="0" w:space="0" w:color="auto"/>
        <w:bottom w:val="none" w:sz="0" w:space="0" w:color="auto"/>
        <w:right w:val="none" w:sz="0" w:space="0" w:color="auto"/>
      </w:divBdr>
    </w:div>
    <w:div w:id="1522623308">
      <w:bodyDiv w:val="1"/>
      <w:marLeft w:val="0"/>
      <w:marRight w:val="0"/>
      <w:marTop w:val="0"/>
      <w:marBottom w:val="0"/>
      <w:divBdr>
        <w:top w:val="none" w:sz="0" w:space="0" w:color="auto"/>
        <w:left w:val="none" w:sz="0" w:space="0" w:color="auto"/>
        <w:bottom w:val="none" w:sz="0" w:space="0" w:color="auto"/>
        <w:right w:val="none" w:sz="0" w:space="0" w:color="auto"/>
      </w:divBdr>
    </w:div>
    <w:div w:id="1549219075">
      <w:bodyDiv w:val="1"/>
      <w:marLeft w:val="0"/>
      <w:marRight w:val="0"/>
      <w:marTop w:val="0"/>
      <w:marBottom w:val="0"/>
      <w:divBdr>
        <w:top w:val="none" w:sz="0" w:space="0" w:color="auto"/>
        <w:left w:val="none" w:sz="0" w:space="0" w:color="auto"/>
        <w:bottom w:val="none" w:sz="0" w:space="0" w:color="auto"/>
        <w:right w:val="none" w:sz="0" w:space="0" w:color="auto"/>
      </w:divBdr>
    </w:div>
    <w:div w:id="1704011823">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97210016">
      <w:bodyDiv w:val="1"/>
      <w:marLeft w:val="0"/>
      <w:marRight w:val="0"/>
      <w:marTop w:val="0"/>
      <w:marBottom w:val="0"/>
      <w:divBdr>
        <w:top w:val="none" w:sz="0" w:space="0" w:color="auto"/>
        <w:left w:val="none" w:sz="0" w:space="0" w:color="auto"/>
        <w:bottom w:val="none" w:sz="0" w:space="0" w:color="auto"/>
        <w:right w:val="none" w:sz="0" w:space="0" w:color="auto"/>
      </w:divBdr>
    </w:div>
    <w:div w:id="1819878988">
      <w:bodyDiv w:val="1"/>
      <w:marLeft w:val="0"/>
      <w:marRight w:val="0"/>
      <w:marTop w:val="0"/>
      <w:marBottom w:val="0"/>
      <w:divBdr>
        <w:top w:val="none" w:sz="0" w:space="0" w:color="auto"/>
        <w:left w:val="none" w:sz="0" w:space="0" w:color="auto"/>
        <w:bottom w:val="none" w:sz="0" w:space="0" w:color="auto"/>
        <w:right w:val="none" w:sz="0" w:space="0" w:color="auto"/>
      </w:divBdr>
    </w:div>
    <w:div w:id="1828932720">
      <w:bodyDiv w:val="1"/>
      <w:marLeft w:val="0"/>
      <w:marRight w:val="0"/>
      <w:marTop w:val="0"/>
      <w:marBottom w:val="0"/>
      <w:divBdr>
        <w:top w:val="none" w:sz="0" w:space="0" w:color="auto"/>
        <w:left w:val="none" w:sz="0" w:space="0" w:color="auto"/>
        <w:bottom w:val="none" w:sz="0" w:space="0" w:color="auto"/>
        <w:right w:val="none" w:sz="0" w:space="0" w:color="auto"/>
      </w:divBdr>
    </w:div>
    <w:div w:id="1841659797">
      <w:bodyDiv w:val="1"/>
      <w:marLeft w:val="0"/>
      <w:marRight w:val="0"/>
      <w:marTop w:val="0"/>
      <w:marBottom w:val="0"/>
      <w:divBdr>
        <w:top w:val="none" w:sz="0" w:space="0" w:color="auto"/>
        <w:left w:val="none" w:sz="0" w:space="0" w:color="auto"/>
        <w:bottom w:val="none" w:sz="0" w:space="0" w:color="auto"/>
        <w:right w:val="none" w:sz="0" w:space="0" w:color="auto"/>
      </w:divBdr>
    </w:div>
    <w:div w:id="1860310741">
      <w:bodyDiv w:val="1"/>
      <w:marLeft w:val="0"/>
      <w:marRight w:val="0"/>
      <w:marTop w:val="0"/>
      <w:marBottom w:val="0"/>
      <w:divBdr>
        <w:top w:val="none" w:sz="0" w:space="0" w:color="auto"/>
        <w:left w:val="none" w:sz="0" w:space="0" w:color="auto"/>
        <w:bottom w:val="none" w:sz="0" w:space="0" w:color="auto"/>
        <w:right w:val="none" w:sz="0" w:space="0" w:color="auto"/>
      </w:divBdr>
    </w:div>
    <w:div w:id="2046827029">
      <w:bodyDiv w:val="1"/>
      <w:marLeft w:val="0"/>
      <w:marRight w:val="0"/>
      <w:marTop w:val="0"/>
      <w:marBottom w:val="0"/>
      <w:divBdr>
        <w:top w:val="none" w:sz="0" w:space="0" w:color="auto"/>
        <w:left w:val="none" w:sz="0" w:space="0" w:color="auto"/>
        <w:bottom w:val="none" w:sz="0" w:space="0" w:color="auto"/>
        <w:right w:val="none" w:sz="0" w:space="0" w:color="auto"/>
      </w:divBdr>
    </w:div>
    <w:div w:id="207049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pa.gov/energy/greenhouse-gases-equivalencies-calculator-calculations-and-references" TargetMode="External"/><Relationship Id="rId2" Type="http://schemas.openxmlformats.org/officeDocument/2006/relationships/hyperlink" Target="https://www.txdot.gov/inside-txdot/forms-publications/publications/highway-safety.html" TargetMode="External"/><Relationship Id="rId1" Type="http://schemas.openxmlformats.org/officeDocument/2006/relationships/hyperlink" Target="https://www.transportation.gov/office-policy/transportation-policy/benefit-cost-analysis-guidance-discretionary-grant-programs-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4CD4B8D93A04445A435F67616C847B1"/>
        <w:category>
          <w:name w:val="General"/>
          <w:gallery w:val="placeholder"/>
        </w:category>
        <w:types>
          <w:type w:val="bbPlcHdr"/>
        </w:types>
        <w:behaviors>
          <w:behavior w:val="content"/>
        </w:behaviors>
        <w:guid w:val="{89016904-D983-4D1E-ABBB-E5A0306B4465}"/>
      </w:docPartPr>
      <w:docPartBody>
        <w:p w:rsidR="00A80912" w:rsidRDefault="00AB7356" w:rsidP="00AB7356">
          <w:pPr>
            <w:pStyle w:val="94CD4B8D93A04445A435F67616C847B1"/>
          </w:pPr>
          <w:r>
            <w:rPr>
              <w:caps/>
              <w:color w:val="FFFFFF" w:themeColor="background1"/>
              <w:sz w:val="18"/>
              <w:szCs w:val="18"/>
            </w:rPr>
            <w:t>[Document title]</w:t>
          </w:r>
        </w:p>
      </w:docPartBody>
    </w:docPart>
    <w:docPart>
      <w:docPartPr>
        <w:name w:val="0C6304E440B445F1906ADCBAE09635C5"/>
        <w:category>
          <w:name w:val="General"/>
          <w:gallery w:val="placeholder"/>
        </w:category>
        <w:types>
          <w:type w:val="bbPlcHdr"/>
        </w:types>
        <w:behaviors>
          <w:behavior w:val="content"/>
        </w:behaviors>
        <w:guid w:val="{DB991D4B-BF1D-45AC-BCE5-247CB25044D2}"/>
      </w:docPartPr>
      <w:docPartBody>
        <w:p w:rsidR="00A80912" w:rsidRDefault="00AB7356" w:rsidP="00AB7356">
          <w:pPr>
            <w:pStyle w:val="0C6304E440B445F1906ADCBAE09635C5"/>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Light">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utura Bk BT">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D1"/>
    <w:rsid w:val="00054A28"/>
    <w:rsid w:val="00071493"/>
    <w:rsid w:val="000903F9"/>
    <w:rsid w:val="001018C3"/>
    <w:rsid w:val="001409D1"/>
    <w:rsid w:val="001428FF"/>
    <w:rsid w:val="00192F9D"/>
    <w:rsid w:val="001A34BB"/>
    <w:rsid w:val="00206E10"/>
    <w:rsid w:val="00207ABC"/>
    <w:rsid w:val="00212812"/>
    <w:rsid w:val="00254A53"/>
    <w:rsid w:val="0027483E"/>
    <w:rsid w:val="002C3D68"/>
    <w:rsid w:val="00307E6C"/>
    <w:rsid w:val="003109B8"/>
    <w:rsid w:val="00324588"/>
    <w:rsid w:val="00347846"/>
    <w:rsid w:val="003555DF"/>
    <w:rsid w:val="003D3FA5"/>
    <w:rsid w:val="003E635D"/>
    <w:rsid w:val="004645E0"/>
    <w:rsid w:val="00495260"/>
    <w:rsid w:val="004B09DE"/>
    <w:rsid w:val="00527084"/>
    <w:rsid w:val="00571B72"/>
    <w:rsid w:val="005915A5"/>
    <w:rsid w:val="005D7663"/>
    <w:rsid w:val="006025A3"/>
    <w:rsid w:val="00613F65"/>
    <w:rsid w:val="00630BED"/>
    <w:rsid w:val="0063199E"/>
    <w:rsid w:val="006372B8"/>
    <w:rsid w:val="00766F9F"/>
    <w:rsid w:val="007704DF"/>
    <w:rsid w:val="007B480E"/>
    <w:rsid w:val="007C7857"/>
    <w:rsid w:val="007E6FFE"/>
    <w:rsid w:val="00847636"/>
    <w:rsid w:val="0088749B"/>
    <w:rsid w:val="00893948"/>
    <w:rsid w:val="00894C8F"/>
    <w:rsid w:val="008A7226"/>
    <w:rsid w:val="008E0C7E"/>
    <w:rsid w:val="008E7131"/>
    <w:rsid w:val="008F49A6"/>
    <w:rsid w:val="00985D09"/>
    <w:rsid w:val="00990942"/>
    <w:rsid w:val="009951A0"/>
    <w:rsid w:val="009D447F"/>
    <w:rsid w:val="00A04CBF"/>
    <w:rsid w:val="00A80912"/>
    <w:rsid w:val="00AA7DD5"/>
    <w:rsid w:val="00AB7356"/>
    <w:rsid w:val="00B20D17"/>
    <w:rsid w:val="00BF689C"/>
    <w:rsid w:val="00C01DF2"/>
    <w:rsid w:val="00C4693B"/>
    <w:rsid w:val="00C51C30"/>
    <w:rsid w:val="00C651A8"/>
    <w:rsid w:val="00CC1B06"/>
    <w:rsid w:val="00CF603E"/>
    <w:rsid w:val="00D2596A"/>
    <w:rsid w:val="00D65D06"/>
    <w:rsid w:val="00DA4722"/>
    <w:rsid w:val="00DC5519"/>
    <w:rsid w:val="00DD442C"/>
    <w:rsid w:val="00E13A8E"/>
    <w:rsid w:val="00E73BAA"/>
    <w:rsid w:val="00E92EBF"/>
    <w:rsid w:val="00EB575A"/>
    <w:rsid w:val="00ED13A0"/>
    <w:rsid w:val="00EE3568"/>
    <w:rsid w:val="00F230BE"/>
    <w:rsid w:val="00F25720"/>
    <w:rsid w:val="00F6387F"/>
    <w:rsid w:val="00F84E1D"/>
    <w:rsid w:val="00FC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E1D"/>
    <w:rPr>
      <w:color w:val="808080"/>
    </w:rPr>
  </w:style>
  <w:style w:type="paragraph" w:customStyle="1" w:styleId="94CD4B8D93A04445A435F67616C847B1">
    <w:name w:val="94CD4B8D93A04445A435F67616C847B1"/>
    <w:rsid w:val="00AB7356"/>
  </w:style>
  <w:style w:type="paragraph" w:customStyle="1" w:styleId="0C6304E440B445F1906ADCBAE09635C5">
    <w:name w:val="0C6304E440B445F1906ADCBAE09635C5"/>
    <w:rsid w:val="00AB7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GC">
      <a:dk1>
        <a:sysClr val="windowText" lastClr="000000"/>
      </a:dk1>
      <a:lt1>
        <a:sysClr val="window" lastClr="FFFFFF"/>
      </a:lt1>
      <a:dk2>
        <a:srgbClr val="44546A"/>
      </a:dk2>
      <a:lt2>
        <a:srgbClr val="E7E6E6"/>
      </a:lt2>
      <a:accent1>
        <a:srgbClr val="002775"/>
      </a:accent1>
      <a:accent2>
        <a:srgbClr val="093DA5"/>
      </a:accent2>
      <a:accent3>
        <a:srgbClr val="0071CE"/>
      </a:accent3>
      <a:accent4>
        <a:srgbClr val="5B9BD5"/>
      </a:accent4>
      <a:accent5>
        <a:srgbClr val="A5A5A5"/>
      </a:accent5>
      <a:accent6>
        <a:srgbClr val="E9BA5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2021-07-19T00:00:00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a9976c-2a24-4fb3-8da9-f53066981d84">
      <Terms xmlns="http://schemas.microsoft.com/office/infopath/2007/PartnerControls"/>
    </lcf76f155ced4ddcb4097134ff3c332f>
    <TaxCatchAll xmlns="fd458293-9cc6-4f98-9260-4b46648368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1</b:Tag>
    <b:SourceType>Book</b:SourceType>
    <b:Guid>{FBE54376-CB74-4631-B650-1A2BA9AC3334}</b:Guid>
    <b:Author>
      <b:Author>
        <b:NameList>
          <b:Person>
            <b:Last>1</b:Last>
            <b:First>Citation</b:First>
          </b:Person>
        </b:NameList>
      </b:Author>
    </b:Author>
    <b:RefOrder>1</b:RefOrder>
  </b:Source>
</b:Sources>
</file>

<file path=customXml/item5.xml><?xml version="1.0" encoding="utf-8"?>
<ct:contentTypeSchema xmlns:ct="http://schemas.microsoft.com/office/2006/metadata/contentType" xmlns:ma="http://schemas.microsoft.com/office/2006/metadata/properties/metaAttributes" ct:_="" ma:_="" ma:contentTypeName="Document" ma:contentTypeID="0x010100507FEE5D3F7229478907E693F4AC7DED" ma:contentTypeVersion="16" ma:contentTypeDescription="Create a new document." ma:contentTypeScope="" ma:versionID="ceb4bc234ec8147aaa3211624086e0d6">
  <xsd:schema xmlns:xsd="http://www.w3.org/2001/XMLSchema" xmlns:xs="http://www.w3.org/2001/XMLSchema" xmlns:p="http://schemas.microsoft.com/office/2006/metadata/properties" xmlns:ns2="99a9976c-2a24-4fb3-8da9-f53066981d84" xmlns:ns3="fd458293-9cc6-4f98-9260-4b466483680c" targetNamespace="http://schemas.microsoft.com/office/2006/metadata/properties" ma:root="true" ma:fieldsID="e2f7aab8cadf5b3c8cc3559fb3a1ceaf" ns2:_="" ns3:_="">
    <xsd:import namespace="99a9976c-2a24-4fb3-8da9-f53066981d84"/>
    <xsd:import namespace="fd458293-9cc6-4f98-9260-4b46648368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9976c-2a24-4fb3-8da9-f53066981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ad4032c-a330-4847-9ce1-ec5da46de3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458293-9cc6-4f98-9260-4b466483680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c6c342b-c6ee-489a-81d5-035aa533647c}" ma:internalName="TaxCatchAll" ma:showField="CatchAllData" ma:web="fd458293-9cc6-4f98-9260-4b46648368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19589-A776-42B4-A59C-03500CA7C11A}">
  <ds:schemaRefs>
    <ds:schemaRef ds:uri="http://schemas.microsoft.com/sharepoint/v3/contenttype/forms"/>
  </ds:schemaRefs>
</ds:datastoreItem>
</file>

<file path=customXml/itemProps3.xml><?xml version="1.0" encoding="utf-8"?>
<ds:datastoreItem xmlns:ds="http://schemas.openxmlformats.org/officeDocument/2006/customXml" ds:itemID="{3D49FCE3-BBC5-4B4E-BA5F-004173FF37F9}">
  <ds:schemaRefs>
    <ds:schemaRef ds:uri="http://purl.org/dc/terms/"/>
    <ds:schemaRef ds:uri="http://purl.org/dc/elements/1.1/"/>
    <ds:schemaRef ds:uri="http://schemas.microsoft.com/office/2006/documentManagement/types"/>
    <ds:schemaRef ds:uri="http://purl.org/dc/dcmitype/"/>
    <ds:schemaRef ds:uri="bd33d642-2297-42af-837d-98292f9a3f35"/>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26ff961-5364-42fe-acd3-c5af2cfeb84d"/>
  </ds:schemaRefs>
</ds:datastoreItem>
</file>

<file path=customXml/itemProps4.xml><?xml version="1.0" encoding="utf-8"?>
<ds:datastoreItem xmlns:ds="http://schemas.openxmlformats.org/officeDocument/2006/customXml" ds:itemID="{DA0FB2E3-046F-4176-AB3B-B67336FEC798}">
  <ds:schemaRefs>
    <ds:schemaRef ds:uri="http://schemas.openxmlformats.org/officeDocument/2006/bibliography"/>
  </ds:schemaRefs>
</ds:datastoreItem>
</file>

<file path=customXml/itemProps5.xml><?xml version="1.0" encoding="utf-8"?>
<ds:datastoreItem xmlns:ds="http://schemas.openxmlformats.org/officeDocument/2006/customXml" ds:itemID="{A7EA7F05-4579-411B-8B54-B4B24BE19667}"/>
</file>

<file path=docMetadata/LabelInfo.xml><?xml version="1.0" encoding="utf-8"?>
<clbl:labelList xmlns:clbl="http://schemas.microsoft.com/office/2020/mipLabelMetadata">
  <clbl:label id="{57a85a10-258b-45b4-a519-c96c7721094c}" enabled="0" method="" siteId="{57a85a10-258b-45b4-a519-c96c7721094c}"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3199</Words>
  <Characters>18235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Montrose Boulevard Safety and Multimodal Access Project BCA</vt:lpstr>
    </vt:vector>
  </TitlesOfParts>
  <Company>Submitted to:</Company>
  <LinksUpToDate>false</LinksUpToDate>
  <CharactersWithSpaces>21392</CharactersWithSpaces>
  <SharedDoc>false</SharedDoc>
  <HLinks>
    <vt:vector size="18" baseType="variant">
      <vt:variant>
        <vt:i4>2031708</vt:i4>
      </vt:variant>
      <vt:variant>
        <vt:i4>6</vt:i4>
      </vt:variant>
      <vt:variant>
        <vt:i4>0</vt:i4>
      </vt:variant>
      <vt:variant>
        <vt:i4>5</vt:i4>
      </vt:variant>
      <vt:variant>
        <vt:lpwstr>https://www.epa.gov/energy/greenhouse-gases-equivalencies-calculator-calculations-and-references</vt:lpwstr>
      </vt:variant>
      <vt:variant>
        <vt:lpwstr/>
      </vt:variant>
      <vt:variant>
        <vt:i4>2490468</vt:i4>
      </vt:variant>
      <vt:variant>
        <vt:i4>3</vt:i4>
      </vt:variant>
      <vt:variant>
        <vt:i4>0</vt:i4>
      </vt:variant>
      <vt:variant>
        <vt:i4>5</vt:i4>
      </vt:variant>
      <vt:variant>
        <vt:lpwstr>https://www.txdot.gov/inside-txdot/forms-publications/publications/highway-safety.html</vt:lpwstr>
      </vt:variant>
      <vt:variant>
        <vt:lpwstr/>
      </vt:variant>
      <vt:variant>
        <vt:i4>1835035</vt:i4>
      </vt:variant>
      <vt:variant>
        <vt:i4>0</vt:i4>
      </vt:variant>
      <vt:variant>
        <vt:i4>0</vt:i4>
      </vt:variant>
      <vt:variant>
        <vt:i4>5</vt:i4>
      </vt:variant>
      <vt:variant>
        <vt:lpwstr>https://www.transportation.gov/office-policy/transportation-policy/benefit-cost-analysis-guidance-discretionary-grant-programs-0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Broadway Reconstruction from IH-45 to SH 225 Road Project BCA Summary</dc:title>
  <dc:subject>Submitted by:</dc:subject>
  <dc:creator>Joanne Ma</dc:creator>
  <cp:keywords/>
  <dc:description/>
  <cp:lastModifiedBy>Correa, Luci - HPW</cp:lastModifiedBy>
  <cp:revision>2</cp:revision>
  <cp:lastPrinted>2021-08-17T01:20:00Z</cp:lastPrinted>
  <dcterms:created xsi:type="dcterms:W3CDTF">2024-08-30T19:34:00Z</dcterms:created>
  <dcterms:modified xsi:type="dcterms:W3CDTF">2024-08-30T19:34:00Z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9382600</vt:r8>
  </property>
  <property fmtid="{D5CDD505-2E9C-101B-9397-08002B2CF9AE}" pid="3" name="MediaServiceImageTags">
    <vt:lpwstr/>
  </property>
  <property fmtid="{D5CDD505-2E9C-101B-9397-08002B2CF9AE}" pid="4" name="ContentTypeId">
    <vt:lpwstr>0x010100507FEE5D3F7229478907E693F4AC7DED</vt:lpwstr>
  </property>
</Properties>
</file>